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040EB8D" w:rsidR="00E37077" w:rsidRPr="001D0007" w:rsidRDefault="00AC5939" w:rsidP="00DD58AA">
            <w:pPr>
              <w:rPr>
                <w:rFonts w:ascii="Aptos" w:hAnsi="Aptos" w:cs="Arial"/>
                <w:color w:val="000000" w:themeColor="text1"/>
                <w:sz w:val="20"/>
              </w:rPr>
            </w:pPr>
            <w:r>
              <w:rPr>
                <w:rFonts w:ascii="Aptos" w:hAnsi="Aptos" w:cs="Arial"/>
                <w:color w:val="000000" w:themeColor="text1"/>
                <w:sz w:val="20"/>
              </w:rPr>
              <w:t xml:space="preserve">To </w:t>
            </w:r>
            <w:r w:rsidR="00BD4195">
              <w:rPr>
                <w:rFonts w:ascii="Aptos" w:hAnsi="Aptos" w:cs="Arial"/>
                <w:color w:val="000000" w:themeColor="text1"/>
                <w:sz w:val="20"/>
              </w:rPr>
              <w:t xml:space="preserve">create a new family, </w:t>
            </w:r>
            <w:r w:rsidR="00BD4195" w:rsidRPr="00BD4195">
              <w:rPr>
                <w:rFonts w:ascii="Aptos" w:hAnsi="Aptos" w:cs="Arial"/>
                <w:i/>
                <w:iCs/>
                <w:color w:val="000000" w:themeColor="text1"/>
                <w:sz w:val="20"/>
              </w:rPr>
              <w:t>Szybalskiviridae</w:t>
            </w:r>
            <w:r>
              <w:rPr>
                <w:rFonts w:ascii="Aptos" w:hAnsi="Aptos" w:cs="Arial"/>
                <w:color w:val="000000" w:themeColor="text1"/>
                <w:sz w:val="20"/>
              </w:rPr>
              <w:t xml:space="preserve"> </w:t>
            </w:r>
            <w:r w:rsidR="00750139">
              <w:rPr>
                <w:rFonts w:ascii="Aptos" w:hAnsi="Aptos" w:cs="Arial"/>
                <w:color w:val="000000" w:themeColor="text1"/>
                <w:sz w:val="20"/>
              </w:rPr>
              <w:t xml:space="preserve">in the class </w:t>
            </w:r>
            <w:r w:rsidRPr="00AC5939">
              <w:rPr>
                <w:rFonts w:ascii="Aptos" w:hAnsi="Aptos" w:cs="Arial"/>
                <w:i/>
                <w:iCs/>
                <w:color w:val="000000" w:themeColor="text1"/>
                <w:sz w:val="20"/>
              </w:rPr>
              <w:t>Caudoviricete</w:t>
            </w:r>
            <w:r w:rsidR="000C35CF">
              <w:rPr>
                <w:rFonts w:ascii="Aptos" w:hAnsi="Aptos" w:cs="Arial"/>
                <w:i/>
                <w:iCs/>
                <w:color w:val="000000" w:themeColor="text1"/>
                <w:sz w:val="20"/>
              </w:rPr>
              <w:t>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38E5270" w:rsidR="00E37077" w:rsidRPr="00AD5A3A" w:rsidRDefault="00750139" w:rsidP="00DD58AA">
            <w:pPr>
              <w:pStyle w:val="BodyTextIndent"/>
              <w:ind w:left="0" w:firstLine="0"/>
              <w:rPr>
                <w:rFonts w:ascii="Aptos" w:hAnsi="Aptos" w:cs="Arial"/>
                <w:bCs/>
                <w:i/>
                <w:sz w:val="20"/>
              </w:rPr>
            </w:pPr>
            <w:r>
              <w:rPr>
                <w:rFonts w:ascii="Aptos" w:hAnsi="Aptos" w:cs="Arial"/>
                <w:bCs/>
                <w:sz w:val="20"/>
              </w:rPr>
              <w:t>2026.069B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18"/>
        <w:gridCol w:w="1349"/>
        <w:gridCol w:w="2567"/>
        <w:gridCol w:w="2595"/>
        <w:gridCol w:w="1094"/>
      </w:tblGrid>
      <w:tr w:rsidR="002D4340" w14:paraId="46D8D295" w14:textId="4B68158E" w:rsidTr="00AC5939">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AC5939">
        <w:trPr>
          <w:trHeight w:val="411"/>
        </w:trPr>
        <w:tc>
          <w:tcPr>
            <w:tcW w:w="171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49"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7"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4"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2D4340" w14:paraId="24E4F537" w14:textId="79E9BB15" w:rsidTr="00AC5939">
        <w:tc>
          <w:tcPr>
            <w:tcW w:w="1718" w:type="dxa"/>
            <w:shd w:val="clear" w:color="auto" w:fill="FFFFFF" w:themeFill="background1"/>
            <w:vAlign w:val="center"/>
          </w:tcPr>
          <w:p w14:paraId="6EA9DED5" w14:textId="2A012A4F" w:rsidR="002D4340" w:rsidRPr="00CD2C82" w:rsidRDefault="00653A58" w:rsidP="00E863D4">
            <w:pPr>
              <w:rPr>
                <w:rFonts w:ascii="Aptos" w:hAnsi="Aptos" w:cs="Arial"/>
                <w:bCs/>
                <w:color w:val="000000" w:themeColor="text1"/>
                <w:sz w:val="20"/>
                <w:szCs w:val="20"/>
              </w:rPr>
            </w:pPr>
            <w:r w:rsidRPr="00653A58">
              <w:rPr>
                <w:rFonts w:ascii="Aptos" w:hAnsi="Aptos" w:cs="Arial"/>
                <w:bCs/>
                <w:color w:val="000000" w:themeColor="text1"/>
                <w:sz w:val="20"/>
                <w:szCs w:val="20"/>
              </w:rPr>
              <w:t>Małgorzata</w:t>
            </w:r>
          </w:p>
        </w:tc>
        <w:tc>
          <w:tcPr>
            <w:tcW w:w="1349" w:type="dxa"/>
            <w:shd w:val="clear" w:color="auto" w:fill="FFFFFF" w:themeFill="background1"/>
            <w:vAlign w:val="center"/>
          </w:tcPr>
          <w:p w14:paraId="2759B022" w14:textId="70D43AEA" w:rsidR="002D4340" w:rsidRPr="00CD2C82" w:rsidRDefault="00653A58" w:rsidP="00E863D4">
            <w:pPr>
              <w:rPr>
                <w:rFonts w:ascii="Aptos" w:hAnsi="Aptos" w:cs="Arial"/>
                <w:bCs/>
                <w:color w:val="000000" w:themeColor="text1"/>
                <w:sz w:val="20"/>
                <w:szCs w:val="20"/>
              </w:rPr>
            </w:pPr>
            <w:r w:rsidRPr="00653A58">
              <w:rPr>
                <w:rFonts w:ascii="Aptos" w:hAnsi="Aptos" w:cs="Arial"/>
                <w:bCs/>
                <w:color w:val="000000" w:themeColor="text1"/>
                <w:sz w:val="20"/>
                <w:szCs w:val="20"/>
              </w:rPr>
              <w:t>Łobocka</w:t>
            </w:r>
          </w:p>
        </w:tc>
        <w:tc>
          <w:tcPr>
            <w:tcW w:w="2567" w:type="dxa"/>
            <w:shd w:val="clear" w:color="auto" w:fill="FFFFFF" w:themeFill="background1"/>
            <w:vAlign w:val="center"/>
          </w:tcPr>
          <w:p w14:paraId="1B4D60EC" w14:textId="77777777" w:rsidR="00653A58" w:rsidRPr="00653A58" w:rsidRDefault="00653A58" w:rsidP="00653A58">
            <w:pPr>
              <w:rPr>
                <w:rFonts w:ascii="Aptos" w:hAnsi="Aptos" w:cs="Arial"/>
                <w:bCs/>
                <w:color w:val="000000" w:themeColor="text1"/>
                <w:sz w:val="20"/>
                <w:szCs w:val="20"/>
              </w:rPr>
            </w:pPr>
            <w:r w:rsidRPr="00653A58">
              <w:rPr>
                <w:rFonts w:ascii="Aptos" w:hAnsi="Aptos" w:cs="Arial"/>
                <w:bCs/>
                <w:color w:val="000000" w:themeColor="text1"/>
                <w:sz w:val="20"/>
                <w:szCs w:val="20"/>
              </w:rPr>
              <w:t>Institute of Biochemistry and Biophysics</w:t>
            </w:r>
          </w:p>
          <w:p w14:paraId="05D68F1D" w14:textId="47238BB4" w:rsidR="002D4340" w:rsidRPr="00CD2C82" w:rsidRDefault="00653A58" w:rsidP="00653A58">
            <w:pPr>
              <w:rPr>
                <w:rFonts w:ascii="Aptos" w:hAnsi="Aptos" w:cs="Arial"/>
                <w:bCs/>
                <w:color w:val="000000" w:themeColor="text1"/>
                <w:sz w:val="20"/>
                <w:szCs w:val="20"/>
              </w:rPr>
            </w:pPr>
            <w:r w:rsidRPr="00653A58">
              <w:rPr>
                <w:rFonts w:ascii="Aptos" w:hAnsi="Aptos" w:cs="Arial"/>
                <w:bCs/>
                <w:color w:val="000000" w:themeColor="text1"/>
                <w:sz w:val="20"/>
                <w:szCs w:val="20"/>
              </w:rPr>
              <w:t>Polish Academy of Sciences</w:t>
            </w:r>
            <w:r>
              <w:rPr>
                <w:rFonts w:ascii="Aptos" w:hAnsi="Aptos" w:cs="Arial"/>
                <w:bCs/>
                <w:color w:val="000000" w:themeColor="text1"/>
                <w:sz w:val="20"/>
                <w:szCs w:val="20"/>
              </w:rPr>
              <w:t xml:space="preserve">, Warsaw </w:t>
            </w:r>
            <w:r w:rsidRPr="00653A58">
              <w:rPr>
                <w:rFonts w:ascii="Aptos" w:hAnsi="Aptos" w:cs="Arial"/>
                <w:bCs/>
                <w:color w:val="000000" w:themeColor="text1"/>
                <w:sz w:val="20"/>
                <w:szCs w:val="20"/>
              </w:rPr>
              <w:t>02-106</w:t>
            </w:r>
            <w:r>
              <w:rPr>
                <w:rFonts w:ascii="Aptos" w:hAnsi="Aptos" w:cs="Arial"/>
                <w:bCs/>
                <w:color w:val="000000" w:themeColor="text1"/>
                <w:sz w:val="20"/>
                <w:szCs w:val="20"/>
              </w:rPr>
              <w:t>, Poland</w:t>
            </w:r>
          </w:p>
        </w:tc>
        <w:tc>
          <w:tcPr>
            <w:tcW w:w="2595" w:type="dxa"/>
            <w:shd w:val="clear" w:color="auto" w:fill="FFFFFF" w:themeFill="background1"/>
            <w:vAlign w:val="center"/>
          </w:tcPr>
          <w:p w14:paraId="133CF739" w14:textId="14E67D7F" w:rsidR="002D4340" w:rsidRPr="00CD2C82" w:rsidRDefault="00653A58" w:rsidP="00E863D4">
            <w:pPr>
              <w:rPr>
                <w:rFonts w:ascii="Aptos" w:hAnsi="Aptos" w:cs="Arial"/>
                <w:bCs/>
                <w:color w:val="000000" w:themeColor="text1"/>
                <w:sz w:val="20"/>
                <w:szCs w:val="20"/>
              </w:rPr>
            </w:pPr>
            <w:r w:rsidRPr="00653A58">
              <w:rPr>
                <w:rFonts w:ascii="Aptos" w:hAnsi="Aptos" w:cs="Arial"/>
                <w:bCs/>
                <w:color w:val="000000" w:themeColor="text1"/>
                <w:sz w:val="20"/>
                <w:szCs w:val="20"/>
              </w:rPr>
              <w:t>lobocka@ibb.waw.pl</w:t>
            </w:r>
          </w:p>
        </w:tc>
        <w:tc>
          <w:tcPr>
            <w:tcW w:w="1094" w:type="dxa"/>
            <w:shd w:val="clear" w:color="auto" w:fill="FFFFFF" w:themeFill="background1"/>
            <w:vAlign w:val="center"/>
          </w:tcPr>
          <w:p w14:paraId="16BB015A" w14:textId="25DBDEA8" w:rsidR="002D4340" w:rsidRPr="00CD2C82" w:rsidRDefault="002D4340" w:rsidP="00E863D4">
            <w:pPr>
              <w:jc w:val="center"/>
              <w:rPr>
                <w:rFonts w:ascii="Aptos" w:hAnsi="Aptos" w:cs="Arial"/>
                <w:bCs/>
                <w:color w:val="000000" w:themeColor="text1"/>
                <w:sz w:val="20"/>
                <w:szCs w:val="20"/>
              </w:rPr>
            </w:pPr>
          </w:p>
        </w:tc>
      </w:tr>
      <w:tr w:rsidR="00BD4195" w14:paraId="258E2A04" w14:textId="77777777" w:rsidTr="00AC5939">
        <w:tc>
          <w:tcPr>
            <w:tcW w:w="1718" w:type="dxa"/>
          </w:tcPr>
          <w:p w14:paraId="3665F35C" w14:textId="657A74B3" w:rsidR="00BD4195" w:rsidRDefault="00BD4195">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49" w:type="dxa"/>
          </w:tcPr>
          <w:p w14:paraId="0035E000" w14:textId="6C85E3D7" w:rsidR="00BD4195" w:rsidRDefault="008743C4">
            <w:pPr>
              <w:rPr>
                <w:rFonts w:ascii="Aptos" w:hAnsi="Aptos" w:cs="Arial"/>
                <w:bCs/>
                <w:color w:val="000000" w:themeColor="text1"/>
                <w:sz w:val="20"/>
                <w:szCs w:val="20"/>
              </w:rPr>
            </w:pPr>
            <w:r w:rsidRPr="008743C4">
              <w:rPr>
                <w:rFonts w:ascii="Aptos" w:hAnsi="Aptos" w:cs="Arial"/>
                <w:bCs/>
                <w:color w:val="000000" w:themeColor="text1"/>
                <w:sz w:val="20"/>
                <w:szCs w:val="20"/>
              </w:rPr>
              <w:t>Kurtböke</w:t>
            </w:r>
          </w:p>
        </w:tc>
        <w:tc>
          <w:tcPr>
            <w:tcW w:w="2567" w:type="dxa"/>
          </w:tcPr>
          <w:p w14:paraId="2DDF0FBB" w14:textId="5C083924" w:rsidR="00BD4195" w:rsidRDefault="008743C4">
            <w:pPr>
              <w:rPr>
                <w:rFonts w:ascii="Aptos" w:hAnsi="Aptos" w:cs="Arial"/>
                <w:bCs/>
                <w:color w:val="000000" w:themeColor="text1"/>
                <w:sz w:val="20"/>
                <w:szCs w:val="20"/>
              </w:rPr>
            </w:pPr>
            <w:r>
              <w:rPr>
                <w:rFonts w:ascii="Aptos" w:hAnsi="Aptos" w:cs="Arial"/>
                <w:bCs/>
                <w:color w:val="000000" w:themeColor="text1"/>
                <w:sz w:val="20"/>
                <w:szCs w:val="20"/>
              </w:rPr>
              <w:t>University of the Sunshine Coast, Australia</w:t>
            </w:r>
          </w:p>
        </w:tc>
        <w:tc>
          <w:tcPr>
            <w:tcW w:w="2595" w:type="dxa"/>
          </w:tcPr>
          <w:p w14:paraId="616B4775" w14:textId="263CAAD1" w:rsidR="00BD4195" w:rsidRDefault="008743C4">
            <w:pPr>
              <w:rPr>
                <w:rFonts w:ascii="Aptos" w:hAnsi="Aptos" w:cs="Arial"/>
                <w:bCs/>
                <w:color w:val="000000" w:themeColor="text1"/>
                <w:sz w:val="20"/>
                <w:szCs w:val="20"/>
              </w:rPr>
            </w:pPr>
            <w:r w:rsidRPr="008743C4">
              <w:rPr>
                <w:rFonts w:ascii="Aptos" w:hAnsi="Aptos" w:cs="Arial"/>
                <w:bCs/>
                <w:color w:val="000000" w:themeColor="text1"/>
                <w:sz w:val="20"/>
                <w:szCs w:val="20"/>
              </w:rPr>
              <w:t>ikurtbok@usc.edu.au</w:t>
            </w:r>
          </w:p>
        </w:tc>
        <w:tc>
          <w:tcPr>
            <w:tcW w:w="1094" w:type="dxa"/>
          </w:tcPr>
          <w:p w14:paraId="6BA14983" w14:textId="77777777" w:rsidR="00BD4195" w:rsidRDefault="00BD4195">
            <w:pPr>
              <w:jc w:val="center"/>
              <w:rPr>
                <w:rFonts w:ascii="Aptos" w:hAnsi="Aptos" w:cs="Arial"/>
                <w:bCs/>
                <w:color w:val="000000" w:themeColor="text1"/>
                <w:sz w:val="20"/>
                <w:szCs w:val="20"/>
              </w:rPr>
            </w:pPr>
          </w:p>
        </w:tc>
      </w:tr>
      <w:tr w:rsidR="00AC5939" w14:paraId="7695B861" w14:textId="77777777" w:rsidTr="00AC5939">
        <w:tc>
          <w:tcPr>
            <w:tcW w:w="1718" w:type="dxa"/>
            <w:hideMark/>
          </w:tcPr>
          <w:p w14:paraId="0D5DE097" w14:textId="77777777" w:rsidR="00AC5939" w:rsidRDefault="00AC5939">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49" w:type="dxa"/>
            <w:hideMark/>
          </w:tcPr>
          <w:p w14:paraId="657DC6E9" w14:textId="77777777" w:rsidR="00AC5939" w:rsidRDefault="00AC5939">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7" w:type="dxa"/>
            <w:hideMark/>
          </w:tcPr>
          <w:p w14:paraId="2544D27B" w14:textId="77777777" w:rsidR="00AC5939" w:rsidRDefault="00AC5939">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5C4B797F" w14:textId="77777777" w:rsidR="00AC5939" w:rsidRDefault="00AC5939">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5680DB8C" w14:textId="77777777" w:rsidR="00AC5939" w:rsidRDefault="00AC5939">
            <w:pPr>
              <w:rPr>
                <w:rFonts w:ascii="Aptos" w:hAnsi="Aptos" w:cs="Arial"/>
                <w:bCs/>
                <w:color w:val="000000" w:themeColor="text1"/>
                <w:sz w:val="20"/>
                <w:szCs w:val="20"/>
              </w:rPr>
            </w:pPr>
            <w:r>
              <w:rPr>
                <w:rFonts w:ascii="Aptos" w:hAnsi="Aptos" w:cs="Arial"/>
                <w:bCs/>
                <w:color w:val="000000" w:themeColor="text1"/>
                <w:sz w:val="20"/>
                <w:szCs w:val="20"/>
              </w:rPr>
              <w:t>D-45141 Essen,</w:t>
            </w:r>
          </w:p>
          <w:p w14:paraId="28735E9B" w14:textId="77777777" w:rsidR="00AC5939" w:rsidRDefault="00AC5939">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6D01247E" w14:textId="77777777" w:rsidR="00AC5939" w:rsidRDefault="00AC5939">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4" w:type="dxa"/>
          </w:tcPr>
          <w:p w14:paraId="5FE1DADA" w14:textId="77777777" w:rsidR="00AC5939" w:rsidRDefault="00AC5939">
            <w:pPr>
              <w:jc w:val="center"/>
              <w:rPr>
                <w:rFonts w:ascii="Aptos" w:hAnsi="Aptos" w:cs="Arial"/>
                <w:bCs/>
                <w:color w:val="000000" w:themeColor="text1"/>
                <w:sz w:val="20"/>
                <w:szCs w:val="20"/>
              </w:rPr>
            </w:pPr>
          </w:p>
        </w:tc>
      </w:tr>
      <w:tr w:rsidR="004B151F" w14:paraId="41B9704A" w14:textId="77777777" w:rsidTr="00AC5939">
        <w:tc>
          <w:tcPr>
            <w:tcW w:w="1718" w:type="dxa"/>
            <w:hideMark/>
          </w:tcPr>
          <w:p w14:paraId="019C0DBB"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49" w:type="dxa"/>
            <w:hideMark/>
          </w:tcPr>
          <w:p w14:paraId="5AC7825E"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7" w:type="dxa"/>
            <w:hideMark/>
          </w:tcPr>
          <w:p w14:paraId="32E13C46"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5D20C7F"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4" w:type="dxa"/>
            <w:hideMark/>
          </w:tcPr>
          <w:p w14:paraId="6636070D" w14:textId="77777777" w:rsidR="004B151F" w:rsidRDefault="004B151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70E3F6A5"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7C6ECF66"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C2A519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5FADE7EE" w:rsidR="0072682D" w:rsidRPr="000C5189" w:rsidRDefault="0050034E" w:rsidP="00DD58AA">
            <w:pPr>
              <w:rPr>
                <w:rFonts w:ascii="Aptos" w:hAnsi="Aptos" w:cs="Arial"/>
                <w:sz w:val="20"/>
                <w:szCs w:val="20"/>
              </w:rPr>
            </w:pPr>
            <w:r>
              <w:rPr>
                <w:rFonts w:ascii="Aptos" w:hAnsi="Aptos" w:cs="Arial"/>
                <w:i/>
                <w:iCs/>
                <w:sz w:val="20"/>
                <w:szCs w:val="20"/>
              </w:rPr>
              <w:t>Actinophage</w:t>
            </w:r>
            <w:r w:rsidR="00AC5939" w:rsidRPr="00AC5939">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13FF0E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18E282B9" w:rsidR="003A18C5" w:rsidRPr="001D0007" w:rsidRDefault="000C35CF" w:rsidP="00C95E56">
            <w:pPr>
              <w:rPr>
                <w:rFonts w:ascii="Aptos" w:hAnsi="Aptos" w:cs="Arial"/>
                <w:bCs/>
                <w:color w:val="000000" w:themeColor="text1"/>
                <w:sz w:val="20"/>
                <w:szCs w:val="20"/>
              </w:rPr>
            </w:pPr>
            <w:r>
              <w:rPr>
                <w:rFonts w:ascii="Aptos" w:hAnsi="Aptos" w:cs="Arial"/>
                <w:bCs/>
                <w:sz w:val="20"/>
                <w:szCs w:val="20"/>
              </w:rPr>
              <w:t>22/07/2026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4563428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5589F1AC">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2DC6B26" w14:textId="6884F846" w:rsidR="006C0F51" w:rsidRPr="00F110F7" w:rsidRDefault="006C0F51" w:rsidP="5589F1AC">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3599377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1DA05FD" w:rsidR="00953FFE" w:rsidRDefault="00AC593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0424AFBA" w:rsidR="00953FFE" w:rsidRDefault="00AC593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0E762CDE" w:rsidR="00953FFE" w:rsidRDefault="00AC593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36677BBF">
        <w:trPr>
          <w:trHeight w:val="297"/>
        </w:trPr>
        <w:tc>
          <w:tcPr>
            <w:tcW w:w="8926" w:type="dxa"/>
            <w:gridSpan w:val="2"/>
            <w:shd w:val="clear" w:color="auto" w:fill="F2F2F2" w:themeFill="background1" w:themeFillShade="F2"/>
          </w:tcPr>
          <w:p w14:paraId="20EDA6C5" w14:textId="32205FB3"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36677BBF">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36677BBF">
        <w:trPr>
          <w:trHeight w:val="71"/>
        </w:trPr>
        <w:tc>
          <w:tcPr>
            <w:tcW w:w="2547" w:type="dxa"/>
            <w:vAlign w:val="center"/>
          </w:tcPr>
          <w:p w14:paraId="2B4F2A8D" w14:textId="716F319F" w:rsidR="00333392" w:rsidRPr="00040CB0" w:rsidRDefault="6F5B4D95" w:rsidP="36677BBF">
            <w:pPr>
              <w:jc w:val="both"/>
              <w:rPr>
                <w:rFonts w:ascii="Aptos" w:hAnsi="Aptos" w:cs="Arial"/>
                <w:i/>
                <w:iCs/>
                <w:color w:val="000000" w:themeColor="text1"/>
                <w:sz w:val="20"/>
                <w:szCs w:val="20"/>
              </w:rPr>
            </w:pPr>
            <w:r w:rsidRPr="36677BBF">
              <w:rPr>
                <w:rFonts w:ascii="Aptos" w:hAnsi="Aptos" w:cs="Arial"/>
                <w:i/>
                <w:iCs/>
                <w:color w:val="000000" w:themeColor="text1"/>
                <w:sz w:val="20"/>
                <w:szCs w:val="20"/>
              </w:rPr>
              <w:t>Szybalskiviridae</w:t>
            </w:r>
          </w:p>
        </w:tc>
        <w:tc>
          <w:tcPr>
            <w:tcW w:w="6379" w:type="dxa"/>
            <w:vAlign w:val="center"/>
          </w:tcPr>
          <w:p w14:paraId="17202B3B" w14:textId="1E62A01F" w:rsidR="00333392" w:rsidRPr="00040CB0" w:rsidRDefault="6F5B4D95" w:rsidP="36677BBF">
            <w:pPr>
              <w:jc w:val="both"/>
              <w:rPr>
                <w:rFonts w:ascii="Aptos" w:hAnsi="Aptos" w:cs="Arial"/>
                <w:color w:val="000000" w:themeColor="text1"/>
                <w:sz w:val="20"/>
                <w:szCs w:val="20"/>
              </w:rPr>
            </w:pPr>
            <w:r w:rsidRPr="36677BBF">
              <w:rPr>
                <w:rFonts w:ascii="Aptos" w:hAnsi="Aptos" w:cs="Arial"/>
                <w:color w:val="000000" w:themeColor="text1"/>
                <w:sz w:val="20"/>
                <w:szCs w:val="20"/>
              </w:rPr>
              <w:t>Named in honour of Professor Wacław Tadeusz Szybalski</w:t>
            </w:r>
            <w:r w:rsidR="000C35CF">
              <w:rPr>
                <w:rFonts w:ascii="Aptos" w:hAnsi="Aptos" w:cs="Arial"/>
                <w:color w:val="000000" w:themeColor="text1"/>
                <w:sz w:val="20"/>
                <w:szCs w:val="20"/>
              </w:rPr>
              <w:t xml:space="preserve"> (deceased)</w:t>
            </w:r>
          </w:p>
        </w:tc>
      </w:tr>
      <w:tr w:rsidR="00FC2269" w:rsidRPr="009F7856" w14:paraId="20245EE3" w14:textId="77777777" w:rsidTr="36677BBF">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452F9A2B"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E3A445A"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36677BBF">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36677BBF">
        <w:tc>
          <w:tcPr>
            <w:tcW w:w="8926" w:type="dxa"/>
          </w:tcPr>
          <w:p w14:paraId="4FD7E42A" w14:textId="77777777" w:rsidR="00A77B8E" w:rsidRDefault="00A77B8E" w:rsidP="00DD58AA">
            <w:pPr>
              <w:rPr>
                <w:rFonts w:ascii="Aptos" w:hAnsi="Aptos" w:cs="Arial"/>
                <w:b/>
                <w:i/>
                <w:sz w:val="20"/>
                <w:szCs w:val="20"/>
              </w:rPr>
            </w:pPr>
          </w:p>
          <w:p w14:paraId="52B395CF" w14:textId="742028A1" w:rsidR="004B151F" w:rsidRDefault="004B151F" w:rsidP="00FF0870">
            <w:r w:rsidRPr="36677BBF">
              <w:rPr>
                <w:rFonts w:ascii="Aptos" w:hAnsi="Aptos" w:cs="Arial"/>
                <w:i/>
                <w:iCs/>
                <w:sz w:val="20"/>
                <w:szCs w:val="20"/>
              </w:rPr>
              <w:t>Description of current taxonomy</w:t>
            </w:r>
            <w:r w:rsidRPr="36677BBF">
              <w:rPr>
                <w:rFonts w:ascii="Aptos" w:hAnsi="Aptos" w:cs="Arial"/>
                <w:sz w:val="20"/>
                <w:szCs w:val="20"/>
              </w:rPr>
              <w:t xml:space="preserve">:   </w:t>
            </w:r>
          </w:p>
          <w:p w14:paraId="46DF7D3D" w14:textId="1A46137A" w:rsidR="004B151F" w:rsidRDefault="00FF0870" w:rsidP="00FF0870">
            <w:pPr>
              <w:rPr>
                <w:rFonts w:ascii="Aptos" w:hAnsi="Aptos" w:cs="Arial"/>
                <w:sz w:val="20"/>
                <w:szCs w:val="20"/>
              </w:rPr>
            </w:pPr>
            <w:r w:rsidRPr="36677BBF">
              <w:rPr>
                <w:rFonts w:ascii="Aptos" w:hAnsi="Aptos" w:cs="Arial"/>
                <w:sz w:val="20"/>
                <w:szCs w:val="20"/>
              </w:rPr>
              <w:t>The phages in this proposal are either unclassified or belong to the genera</w:t>
            </w:r>
            <w:r w:rsidR="004B151F" w:rsidRPr="36677BBF">
              <w:rPr>
                <w:rFonts w:ascii="Aptos" w:hAnsi="Aptos" w:cs="Arial"/>
                <w:sz w:val="20"/>
                <w:szCs w:val="20"/>
              </w:rPr>
              <w:t xml:space="preserve"> </w:t>
            </w:r>
            <w:r w:rsidRPr="36677BBF">
              <w:rPr>
                <w:rFonts w:ascii="Aptos" w:hAnsi="Aptos" w:cs="Arial"/>
                <w:i/>
                <w:iCs/>
                <w:sz w:val="20"/>
                <w:szCs w:val="20"/>
              </w:rPr>
              <w:t>Getseptimavirus, Tinduovirus, Montyvirus, Woesvirus</w:t>
            </w:r>
            <w:r w:rsidRPr="36677BBF">
              <w:rPr>
                <w:rFonts w:ascii="Aptos" w:hAnsi="Aptos" w:cs="Arial"/>
                <w:sz w:val="20"/>
                <w:szCs w:val="20"/>
              </w:rPr>
              <w:t xml:space="preserve">, </w:t>
            </w:r>
            <w:r w:rsidRPr="36677BBF">
              <w:rPr>
                <w:rFonts w:ascii="Aptos" w:hAnsi="Aptos" w:cs="Arial"/>
                <w:i/>
                <w:iCs/>
                <w:sz w:val="20"/>
                <w:szCs w:val="20"/>
              </w:rPr>
              <w:t>Docdeeseptimavirus</w:t>
            </w:r>
            <w:r w:rsidRPr="36677BBF">
              <w:rPr>
                <w:rFonts w:ascii="Aptos" w:hAnsi="Aptos" w:cs="Arial"/>
                <w:sz w:val="20"/>
                <w:szCs w:val="20"/>
              </w:rPr>
              <w:t xml:space="preserve"> and </w:t>
            </w:r>
            <w:r w:rsidRPr="36677BBF">
              <w:rPr>
                <w:rFonts w:ascii="Aptos" w:hAnsi="Aptos" w:cs="Arial"/>
                <w:i/>
                <w:iCs/>
                <w:sz w:val="20"/>
                <w:szCs w:val="20"/>
              </w:rPr>
              <w:t>Demosthenesvirus</w:t>
            </w:r>
          </w:p>
          <w:p w14:paraId="06D4602F" w14:textId="77777777" w:rsidR="004B151F" w:rsidRDefault="004B151F" w:rsidP="004B151F">
            <w:pPr>
              <w:rPr>
                <w:rFonts w:ascii="Aptos" w:hAnsi="Aptos" w:cs="Arial"/>
                <w:sz w:val="20"/>
                <w:szCs w:val="20"/>
              </w:rPr>
            </w:pPr>
          </w:p>
          <w:p w14:paraId="634F6E91" w14:textId="39E56FC9" w:rsidR="004B151F" w:rsidRPr="00FF0870" w:rsidRDefault="004B151F" w:rsidP="004B151F">
            <w:r w:rsidRPr="36677BBF">
              <w:rPr>
                <w:rFonts w:ascii="Aptos" w:hAnsi="Aptos" w:cs="Arial"/>
                <w:i/>
                <w:iCs/>
                <w:sz w:val="20"/>
                <w:szCs w:val="20"/>
              </w:rPr>
              <w:t>Proposed</w:t>
            </w:r>
            <w:r w:rsidRPr="36677BBF">
              <w:rPr>
                <w:rFonts w:ascii="Aptos" w:hAnsi="Aptos" w:cs="Arial"/>
                <w:sz w:val="20"/>
                <w:szCs w:val="20"/>
              </w:rPr>
              <w:t xml:space="preserve"> </w:t>
            </w:r>
            <w:r w:rsidRPr="36677BBF">
              <w:rPr>
                <w:rFonts w:ascii="Aptos" w:hAnsi="Aptos" w:cs="Arial"/>
                <w:i/>
                <w:iCs/>
                <w:sz w:val="20"/>
                <w:szCs w:val="20"/>
              </w:rPr>
              <w:t>taxonomic change(s)</w:t>
            </w:r>
            <w:r w:rsidRPr="36677BBF">
              <w:rPr>
                <w:rFonts w:ascii="Aptos" w:hAnsi="Aptos" w:cs="Arial"/>
                <w:sz w:val="20"/>
                <w:szCs w:val="20"/>
              </w:rPr>
              <w:t>:</w:t>
            </w:r>
          </w:p>
          <w:p w14:paraId="1C7AA871" w14:textId="235C9844" w:rsidR="004B151F" w:rsidRPr="00EE312E" w:rsidRDefault="004B151F" w:rsidP="004B151F">
            <w:pPr>
              <w:rPr>
                <w:rFonts w:ascii="Aptos" w:hAnsi="Aptos" w:cs="Arial"/>
                <w:sz w:val="20"/>
                <w:szCs w:val="20"/>
              </w:rPr>
            </w:pPr>
            <w:r w:rsidRPr="36677BBF">
              <w:rPr>
                <w:rFonts w:ascii="Aptos" w:hAnsi="Aptos" w:cs="Arial"/>
                <w:sz w:val="20"/>
                <w:szCs w:val="20"/>
              </w:rPr>
              <w:t xml:space="preserve">We propose to </w:t>
            </w:r>
            <w:r w:rsidR="008743C4" w:rsidRPr="36677BBF">
              <w:rPr>
                <w:rFonts w:ascii="Aptos" w:hAnsi="Aptos" w:cs="Arial"/>
                <w:sz w:val="20"/>
                <w:szCs w:val="20"/>
              </w:rPr>
              <w:t xml:space="preserve">create </w:t>
            </w:r>
            <w:r w:rsidR="00BD4195" w:rsidRPr="36677BBF">
              <w:rPr>
                <w:rFonts w:ascii="Aptos" w:hAnsi="Aptos" w:cs="Arial"/>
                <w:sz w:val="20"/>
                <w:szCs w:val="20"/>
              </w:rPr>
              <w:t xml:space="preserve">a new family </w:t>
            </w:r>
            <w:r w:rsidR="00EE312E">
              <w:rPr>
                <w:rFonts w:ascii="Aptos" w:hAnsi="Aptos" w:cs="Arial"/>
                <w:sz w:val="20"/>
                <w:szCs w:val="20"/>
              </w:rPr>
              <w:t>“</w:t>
            </w:r>
            <w:r w:rsidR="00BD4195" w:rsidRPr="36677BBF">
              <w:rPr>
                <w:rFonts w:ascii="Aptos" w:hAnsi="Aptos" w:cs="Arial"/>
                <w:i/>
                <w:iCs/>
                <w:sz w:val="20"/>
                <w:szCs w:val="20"/>
              </w:rPr>
              <w:t>Szybalskiviridae</w:t>
            </w:r>
            <w:r w:rsidR="00EE312E">
              <w:rPr>
                <w:rFonts w:ascii="Aptos" w:hAnsi="Aptos" w:cs="Arial"/>
                <w:i/>
                <w:iCs/>
                <w:sz w:val="20"/>
                <w:szCs w:val="20"/>
              </w:rPr>
              <w:t>”</w:t>
            </w:r>
            <w:r w:rsidR="00FF0870" w:rsidRPr="36677BBF">
              <w:rPr>
                <w:rFonts w:ascii="Aptos" w:hAnsi="Aptos" w:cs="Arial"/>
                <w:sz w:val="20"/>
                <w:szCs w:val="20"/>
              </w:rPr>
              <w:t xml:space="preserve"> </w:t>
            </w:r>
            <w:r w:rsidR="00EE312E" w:rsidRPr="36677BBF">
              <w:rPr>
                <w:rFonts w:ascii="Aptos" w:hAnsi="Aptos" w:cs="Arial"/>
                <w:sz w:val="20"/>
                <w:szCs w:val="20"/>
              </w:rPr>
              <w:t xml:space="preserve">containing the genera </w:t>
            </w:r>
            <w:r w:rsidR="00EE312E" w:rsidRPr="36677BBF">
              <w:rPr>
                <w:rFonts w:ascii="Aptos" w:hAnsi="Aptos" w:cs="Arial"/>
                <w:i/>
                <w:iCs/>
                <w:sz w:val="20"/>
                <w:szCs w:val="20"/>
              </w:rPr>
              <w:t>Getseptimavirus, Tinduovirus, Montyvirus, Woesvirus</w:t>
            </w:r>
            <w:r w:rsidR="00EE312E" w:rsidRPr="36677BBF">
              <w:rPr>
                <w:rFonts w:ascii="Aptos" w:hAnsi="Aptos" w:cs="Arial"/>
                <w:sz w:val="20"/>
                <w:szCs w:val="20"/>
              </w:rPr>
              <w:t xml:space="preserve">, </w:t>
            </w:r>
            <w:r w:rsidR="00EE312E" w:rsidRPr="36677BBF">
              <w:rPr>
                <w:rFonts w:ascii="Aptos" w:hAnsi="Aptos" w:cs="Arial"/>
                <w:i/>
                <w:iCs/>
                <w:sz w:val="20"/>
                <w:szCs w:val="20"/>
              </w:rPr>
              <w:t>Docdeeseptimavirus</w:t>
            </w:r>
            <w:r w:rsidR="00EE312E" w:rsidRPr="36677BBF">
              <w:rPr>
                <w:rFonts w:ascii="Aptos" w:hAnsi="Aptos" w:cs="Arial"/>
                <w:sz w:val="20"/>
                <w:szCs w:val="20"/>
              </w:rPr>
              <w:t xml:space="preserve"> and </w:t>
            </w:r>
            <w:r w:rsidR="00EE312E" w:rsidRPr="36677BBF">
              <w:rPr>
                <w:rFonts w:ascii="Aptos" w:hAnsi="Aptos" w:cs="Arial"/>
                <w:i/>
                <w:iCs/>
                <w:sz w:val="20"/>
                <w:szCs w:val="20"/>
              </w:rPr>
              <w:t>Demosthenesvirus</w:t>
            </w:r>
            <w:r w:rsidR="00EE312E">
              <w:rPr>
                <w:rFonts w:ascii="Aptos" w:hAnsi="Aptos" w:cs="Arial"/>
                <w:i/>
                <w:iCs/>
                <w:sz w:val="20"/>
                <w:szCs w:val="20"/>
              </w:rPr>
              <w:t xml:space="preserve">, </w:t>
            </w:r>
            <w:r w:rsidR="00B57245">
              <w:rPr>
                <w:rFonts w:ascii="Aptos" w:hAnsi="Aptos" w:cs="Arial"/>
                <w:sz w:val="20"/>
                <w:szCs w:val="20"/>
              </w:rPr>
              <w:t xml:space="preserve">and one new genus </w:t>
            </w:r>
            <w:r w:rsidR="00B57245">
              <w:rPr>
                <w:rFonts w:ascii="Aptos" w:hAnsi="Aptos" w:cs="Arial"/>
                <w:i/>
                <w:iCs/>
                <w:sz w:val="20"/>
                <w:szCs w:val="20"/>
              </w:rPr>
              <w:t>“Philonvirus”</w:t>
            </w:r>
            <w:r w:rsidR="00B57245">
              <w:rPr>
                <w:rFonts w:ascii="Aptos" w:hAnsi="Aptos" w:cs="Arial"/>
                <w:sz w:val="20"/>
                <w:szCs w:val="20"/>
              </w:rPr>
              <w:t>.</w:t>
            </w:r>
          </w:p>
          <w:p w14:paraId="289CC7D3" w14:textId="04C7B100" w:rsidR="004B151F" w:rsidRDefault="00BD4195" w:rsidP="00BD4195">
            <w:pPr>
              <w:tabs>
                <w:tab w:val="left" w:pos="6850"/>
              </w:tabs>
              <w:rPr>
                <w:rFonts w:ascii="Aptos" w:hAnsi="Aptos" w:cs="Arial"/>
                <w:sz w:val="20"/>
                <w:szCs w:val="20"/>
              </w:rPr>
            </w:pPr>
            <w:r>
              <w:rPr>
                <w:rFonts w:ascii="Aptos" w:hAnsi="Aptos" w:cs="Arial"/>
                <w:sz w:val="20"/>
                <w:szCs w:val="20"/>
              </w:rPr>
              <w:t xml:space="preserve"> </w:t>
            </w:r>
          </w:p>
          <w:p w14:paraId="21AABC27" w14:textId="7A38830C" w:rsidR="004B151F" w:rsidRDefault="004B151F" w:rsidP="004B151F">
            <w:pPr>
              <w:rPr>
                <w:rFonts w:ascii="Aptos" w:hAnsi="Aptos" w:cs="Arial"/>
                <w:iCs/>
                <w:sz w:val="20"/>
                <w:szCs w:val="20"/>
              </w:rPr>
            </w:pPr>
            <w:r>
              <w:rPr>
                <w:rFonts w:ascii="Aptos" w:hAnsi="Aptos" w:cs="Arial"/>
                <w:i/>
                <w:sz w:val="20"/>
                <w:szCs w:val="20"/>
              </w:rPr>
              <w:t xml:space="preserve">Demarcation criteria for new taxon/taxa: </w:t>
            </w:r>
          </w:p>
          <w:p w14:paraId="2474B14D" w14:textId="7D2722B8" w:rsidR="008743C4" w:rsidRPr="008743C4" w:rsidRDefault="008743C4" w:rsidP="008743C4">
            <w:pPr>
              <w:rPr>
                <w:rFonts w:ascii="Aptos" w:hAnsi="Aptos" w:cs="Arial"/>
                <w:iCs/>
                <w:sz w:val="20"/>
                <w:szCs w:val="20"/>
              </w:rPr>
            </w:pPr>
            <w:r w:rsidRPr="00EE312E">
              <w:rPr>
                <w:rFonts w:ascii="Aptos" w:hAnsi="Aptos" w:cs="Arial"/>
                <w:i/>
                <w:sz w:val="20"/>
                <w:szCs w:val="20"/>
              </w:rPr>
              <w:t>Species demarcation criteria:</w:t>
            </w:r>
            <w:r w:rsidRPr="008743C4">
              <w:rPr>
                <w:rFonts w:ascii="Aptos" w:hAnsi="Aptos" w:cs="Arial"/>
                <w:iCs/>
                <w:sz w:val="20"/>
                <w:szCs w:val="20"/>
              </w:rPr>
              <w:t xml:space="preserve"> Two phages are assigned to the same species if their genomes are more than 95% identical over their genome length for isolates. </w:t>
            </w:r>
            <w:r w:rsidR="005F0138">
              <w:rPr>
                <w:rFonts w:ascii="Aptos" w:hAnsi="Aptos" w:cs="Arial"/>
                <w:iCs/>
                <w:sz w:val="20"/>
                <w:szCs w:val="20"/>
              </w:rPr>
              <w:t xml:space="preserve"> </w:t>
            </w:r>
            <w:r w:rsidRPr="008743C4">
              <w:rPr>
                <w:rFonts w:ascii="Aptos" w:hAnsi="Aptos" w:cs="Arial"/>
                <w:iCs/>
                <w:sz w:val="20"/>
                <w:szCs w:val="20"/>
              </w:rPr>
              <w:t>These values can be calculated by a number of tools, such as BLASTn [1,2] – usually calculated using intergenomic distance calculator VIRIDIC [3].</w:t>
            </w:r>
          </w:p>
          <w:p w14:paraId="2BC2A0A1" w14:textId="77777777" w:rsidR="008743C4" w:rsidRPr="008743C4" w:rsidRDefault="008743C4" w:rsidP="008743C4">
            <w:pPr>
              <w:rPr>
                <w:rFonts w:ascii="Aptos" w:hAnsi="Aptos" w:cs="Arial"/>
                <w:iCs/>
                <w:sz w:val="20"/>
                <w:szCs w:val="20"/>
              </w:rPr>
            </w:pPr>
          </w:p>
          <w:p w14:paraId="6499092B" w14:textId="77777777" w:rsidR="008743C4" w:rsidRPr="008743C4" w:rsidRDefault="008743C4" w:rsidP="008743C4">
            <w:pPr>
              <w:rPr>
                <w:rFonts w:ascii="Aptos" w:hAnsi="Aptos" w:cs="Arial"/>
                <w:iCs/>
                <w:sz w:val="20"/>
                <w:szCs w:val="20"/>
              </w:rPr>
            </w:pPr>
            <w:r w:rsidRPr="008743C4">
              <w:rPr>
                <w:rFonts w:ascii="Aptos" w:hAnsi="Aptos" w:cs="Arial"/>
                <w:i/>
                <w:sz w:val="20"/>
                <w:szCs w:val="20"/>
              </w:rPr>
              <w:t>Genus demarcation criteria</w:t>
            </w:r>
            <w:r w:rsidRPr="008743C4">
              <w:rPr>
                <w:rFonts w:ascii="Aptos" w:hAnsi="Aptos" w:cs="Arial"/>
                <w:iCs/>
                <w:sz w:val="20"/>
                <w:szCs w:val="20"/>
              </w:rPr>
              <w:t>: 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[10].</w:t>
            </w:r>
          </w:p>
          <w:p w14:paraId="5E0197CD" w14:textId="77777777" w:rsidR="008743C4" w:rsidRPr="008743C4" w:rsidRDefault="008743C4" w:rsidP="008743C4">
            <w:pPr>
              <w:rPr>
                <w:rFonts w:ascii="Aptos" w:hAnsi="Aptos" w:cs="Arial"/>
                <w:iCs/>
                <w:sz w:val="20"/>
                <w:szCs w:val="20"/>
              </w:rPr>
            </w:pPr>
          </w:p>
          <w:p w14:paraId="7E2983DD" w14:textId="77777777" w:rsidR="008743C4" w:rsidRPr="008743C4" w:rsidRDefault="008743C4" w:rsidP="008743C4">
            <w:pPr>
              <w:rPr>
                <w:rFonts w:ascii="Aptos" w:hAnsi="Aptos" w:cs="Arial"/>
                <w:iCs/>
                <w:sz w:val="20"/>
                <w:szCs w:val="20"/>
              </w:rPr>
            </w:pPr>
            <w:r w:rsidRPr="008743C4">
              <w:rPr>
                <w:rFonts w:ascii="Aptos" w:hAnsi="Aptos" w:cs="Arial"/>
                <w:i/>
                <w:sz w:val="20"/>
                <w:szCs w:val="20"/>
              </w:rPr>
              <w:t>Subfamily demarcation criteria</w:t>
            </w:r>
            <w:r w:rsidRPr="008743C4">
              <w:rPr>
                <w:rFonts w:ascii="Aptos" w:hAnsi="Aptos" w:cs="Arial"/>
                <w:iCs/>
                <w:sz w:val="20"/>
                <w:szCs w:val="20"/>
              </w:rPr>
              <w:t>: Subfamilies are to be created when two or more genera are related below the family level. In practical terms, this usually means that they share a low degree of sequence similarity (usually about 40-50%) and that the genera form a clade in a marker tree phylogeny [10].</w:t>
            </w:r>
          </w:p>
          <w:p w14:paraId="19B4A0CF" w14:textId="77777777" w:rsidR="008743C4" w:rsidRPr="008743C4" w:rsidRDefault="008743C4" w:rsidP="008743C4">
            <w:pPr>
              <w:rPr>
                <w:rFonts w:ascii="Aptos" w:hAnsi="Aptos" w:cs="Arial"/>
                <w:iCs/>
                <w:sz w:val="20"/>
                <w:szCs w:val="20"/>
              </w:rPr>
            </w:pPr>
          </w:p>
          <w:p w14:paraId="4189F1DA" w14:textId="77777777" w:rsidR="008743C4" w:rsidRPr="008743C4" w:rsidRDefault="008743C4" w:rsidP="008743C4">
            <w:pPr>
              <w:rPr>
                <w:rFonts w:ascii="Aptos" w:hAnsi="Aptos" w:cs="Arial"/>
                <w:iCs/>
                <w:sz w:val="20"/>
                <w:szCs w:val="20"/>
              </w:rPr>
            </w:pPr>
            <w:r w:rsidRPr="008743C4">
              <w:rPr>
                <w:rFonts w:ascii="Aptos" w:hAnsi="Aptos" w:cs="Arial"/>
                <w:i/>
                <w:sz w:val="20"/>
                <w:szCs w:val="20"/>
              </w:rPr>
              <w:t>Family demarcation criteria</w:t>
            </w:r>
            <w:r w:rsidRPr="008743C4">
              <w:rPr>
                <w:rFonts w:ascii="Aptos" w:hAnsi="Aptos" w:cs="Arial"/>
                <w:iCs/>
                <w:sz w:val="20"/>
                <w:szCs w:val="20"/>
              </w:rPr>
              <w:t>: The family is represented by a cohesive and monophyletic group in the main predicted proteome-based clustering tools (VirClust, ViPTree, GRAViTy dendrogram, vConTACT2 network).  Members of the family share a significant number of orthologous genes (the number will depend on the genome sizes and number of coding sequences of members of the family) [10].</w:t>
            </w:r>
          </w:p>
          <w:p w14:paraId="64100B10" w14:textId="77777777" w:rsidR="008743C4" w:rsidRPr="008743C4" w:rsidRDefault="008743C4" w:rsidP="008743C4">
            <w:pPr>
              <w:rPr>
                <w:rFonts w:ascii="Aptos" w:hAnsi="Aptos" w:cs="Arial"/>
                <w:iCs/>
                <w:sz w:val="20"/>
                <w:szCs w:val="20"/>
              </w:rPr>
            </w:pPr>
          </w:p>
          <w:p w14:paraId="0726CE78" w14:textId="77777777" w:rsidR="004E3C35" w:rsidRDefault="008743C4" w:rsidP="36677BBF">
            <w:pPr>
              <w:rPr>
                <w:rFonts w:ascii="Aptos" w:hAnsi="Aptos" w:cs="Arial"/>
                <w:sz w:val="20"/>
                <w:szCs w:val="20"/>
              </w:rPr>
            </w:pPr>
            <w:r w:rsidRPr="36677BBF">
              <w:rPr>
                <w:rFonts w:ascii="Aptos" w:hAnsi="Aptos" w:cs="Arial"/>
                <w:i/>
                <w:iCs/>
                <w:sz w:val="20"/>
                <w:szCs w:val="20"/>
              </w:rPr>
              <w:t>Justification</w:t>
            </w:r>
            <w:r w:rsidRPr="36677BBF">
              <w:rPr>
                <w:rFonts w:ascii="Aptos" w:hAnsi="Aptos" w:cs="Arial"/>
                <w:sz w:val="20"/>
                <w:szCs w:val="20"/>
              </w:rPr>
              <w:t xml:space="preserve">:   </w:t>
            </w:r>
          </w:p>
          <w:p w14:paraId="18507DF4" w14:textId="79D748CF" w:rsidR="00FC2269" w:rsidRDefault="004E3C35" w:rsidP="00F807DA">
            <w:pPr>
              <w:rPr>
                <w:rFonts w:ascii="Aptos" w:hAnsi="Aptos" w:cs="Arial"/>
                <w:color w:val="0000FF"/>
                <w:sz w:val="20"/>
                <w:szCs w:val="20"/>
              </w:rPr>
            </w:pPr>
            <w:r w:rsidRPr="004E3C35">
              <w:rPr>
                <w:rFonts w:ascii="Aptos" w:hAnsi="Aptos"/>
                <w:sz w:val="20"/>
                <w:szCs w:val="20"/>
              </w:rPr>
              <w:t>Intergenomic nucleotide similarities calculated using VIRIDIC demonstrate that these phages share at minimum </w:t>
            </w:r>
            <w:r>
              <w:rPr>
                <w:rFonts w:ascii="Aptos" w:hAnsi="Aptos"/>
                <w:sz w:val="20"/>
                <w:szCs w:val="20"/>
              </w:rPr>
              <w:t>25</w:t>
            </w:r>
            <w:r w:rsidRPr="004E3C35">
              <w:rPr>
                <w:rFonts w:ascii="Aptos" w:hAnsi="Aptos"/>
                <w:sz w:val="20"/>
                <w:szCs w:val="20"/>
              </w:rPr>
              <w:t xml:space="preserve">% similarity. Each of the proposed genera and species exhibit similarity which satisfy the demarcation criteria established by the Bacterial Viruses Subcommittee. Phylogenetic analyses of the </w:t>
            </w:r>
            <w:r w:rsidR="00866E9E">
              <w:rPr>
                <w:rFonts w:ascii="Aptos" w:hAnsi="Aptos"/>
                <w:sz w:val="20"/>
                <w:szCs w:val="20"/>
              </w:rPr>
              <w:t>large terminase subunit</w:t>
            </w:r>
            <w:r w:rsidR="00866E9E" w:rsidRPr="004E3C35">
              <w:rPr>
                <w:rFonts w:ascii="Aptos" w:hAnsi="Aptos"/>
                <w:sz w:val="20"/>
                <w:szCs w:val="20"/>
              </w:rPr>
              <w:t xml:space="preserve"> </w:t>
            </w:r>
            <w:r w:rsidRPr="004E3C35">
              <w:rPr>
                <w:rFonts w:ascii="Aptos" w:hAnsi="Aptos"/>
                <w:sz w:val="20"/>
                <w:szCs w:val="20"/>
              </w:rPr>
              <w:t xml:space="preserve">and TBLASTX distance analysis using ViPTree demonstrate that these </w:t>
            </w:r>
            <w:r>
              <w:rPr>
                <w:rFonts w:ascii="Aptos" w:hAnsi="Aptos"/>
                <w:sz w:val="20"/>
                <w:szCs w:val="20"/>
              </w:rPr>
              <w:t>Gordonia</w:t>
            </w:r>
            <w:r w:rsidRPr="004E3C35">
              <w:rPr>
                <w:rFonts w:ascii="Aptos" w:hAnsi="Aptos"/>
                <w:sz w:val="20"/>
                <w:szCs w:val="20"/>
              </w:rPr>
              <w:t> siphoviruses form a cohesive clade at the family level. CoreGenes</w:t>
            </w:r>
            <w:r w:rsidR="0081105D">
              <w:rPr>
                <w:rFonts w:ascii="Aptos" w:hAnsi="Aptos"/>
                <w:sz w:val="20"/>
                <w:szCs w:val="20"/>
              </w:rPr>
              <w:t xml:space="preserve"> </w:t>
            </w:r>
            <w:r w:rsidRPr="004E3C35">
              <w:rPr>
                <w:rFonts w:ascii="Aptos" w:hAnsi="Aptos"/>
                <w:sz w:val="20"/>
                <w:szCs w:val="20"/>
              </w:rPr>
              <w:t>5 analysis revealed that representative species of this family all share </w:t>
            </w:r>
            <w:r w:rsidR="00455F3F">
              <w:rPr>
                <w:rFonts w:ascii="Aptos" w:hAnsi="Aptos"/>
                <w:sz w:val="20"/>
                <w:szCs w:val="20"/>
              </w:rPr>
              <w:t>39</w:t>
            </w:r>
            <w:r w:rsidRPr="004E3C35">
              <w:rPr>
                <w:rFonts w:ascii="Aptos" w:hAnsi="Aptos"/>
                <w:sz w:val="20"/>
                <w:szCs w:val="20"/>
              </w:rPr>
              <w:t xml:space="preserve"> (</w:t>
            </w:r>
            <w:r w:rsidR="00455F3F">
              <w:rPr>
                <w:rFonts w:ascii="Aptos" w:hAnsi="Aptos"/>
                <w:sz w:val="20"/>
                <w:szCs w:val="20"/>
              </w:rPr>
              <w:t>36</w:t>
            </w:r>
            <w:r w:rsidRPr="004E3C35">
              <w:rPr>
                <w:rFonts w:ascii="Aptos" w:hAnsi="Aptos"/>
                <w:sz w:val="20"/>
                <w:szCs w:val="20"/>
              </w:rPr>
              <w:t>%) common proteins</w:t>
            </w:r>
            <w:r w:rsidR="00866E9E">
              <w:rPr>
                <w:rFonts w:ascii="Aptos" w:hAnsi="Aptos"/>
                <w:sz w:val="20"/>
                <w:szCs w:val="20"/>
              </w:rPr>
              <w:t xml:space="preserve"> </w:t>
            </w:r>
            <w:r w:rsidR="00866E9E">
              <w:rPr>
                <w:rFonts w:ascii="Aptos" w:hAnsi="Aptos"/>
                <w:sz w:val="20"/>
                <w:szCs w:val="20"/>
              </w:rPr>
              <w:t xml:space="preserve">which include the </w:t>
            </w:r>
            <w:r w:rsidR="00866E9E" w:rsidRPr="00866E9E">
              <w:rPr>
                <w:rFonts w:ascii="Aptos" w:hAnsi="Aptos"/>
                <w:sz w:val="20"/>
                <w:szCs w:val="20"/>
              </w:rPr>
              <w:t>terminase large subunit, portal protein, head maturation protease</w:t>
            </w:r>
            <w:r w:rsidR="00866E9E">
              <w:rPr>
                <w:rFonts w:ascii="Aptos" w:hAnsi="Aptos"/>
                <w:sz w:val="20"/>
                <w:szCs w:val="20"/>
              </w:rPr>
              <w:t xml:space="preserve"> and</w:t>
            </w:r>
            <w:r w:rsidR="00866E9E" w:rsidRPr="00866E9E">
              <w:rPr>
                <w:rFonts w:ascii="Aptos" w:hAnsi="Aptos"/>
                <w:sz w:val="20"/>
                <w:szCs w:val="20"/>
              </w:rPr>
              <w:t xml:space="preserve"> major head protein</w:t>
            </w:r>
            <w:r w:rsidR="00866E9E">
              <w:rPr>
                <w:rFonts w:ascii="Aptos" w:hAnsi="Aptos"/>
                <w:sz w:val="20"/>
                <w:szCs w:val="20"/>
              </w:rPr>
              <w:t>.</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36677BBF">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36677BBF">
        <w:tc>
          <w:tcPr>
            <w:tcW w:w="8926" w:type="dxa"/>
          </w:tcPr>
          <w:p w14:paraId="74878833" w14:textId="77777777" w:rsidR="00FE6787" w:rsidRDefault="00FE6787" w:rsidP="00FE6787">
            <w:r w:rsidRPr="36677BBF">
              <w:rPr>
                <w:rFonts w:ascii="Aptos" w:hAnsi="Aptos" w:cs="Arial"/>
                <w:i/>
                <w:iCs/>
                <w:sz w:val="20"/>
                <w:szCs w:val="20"/>
              </w:rPr>
              <w:t>Description of current taxonomy</w:t>
            </w:r>
            <w:r w:rsidRPr="36677BBF">
              <w:rPr>
                <w:rFonts w:ascii="Aptos" w:hAnsi="Aptos" w:cs="Arial"/>
                <w:sz w:val="20"/>
                <w:szCs w:val="20"/>
              </w:rPr>
              <w:t xml:space="preserve">:   </w:t>
            </w:r>
          </w:p>
          <w:p w14:paraId="0E811294" w14:textId="77777777" w:rsidR="00FE6787" w:rsidRDefault="00FE6787" w:rsidP="00FE6787">
            <w:pPr>
              <w:rPr>
                <w:rFonts w:ascii="Aptos" w:hAnsi="Aptos" w:cs="Arial"/>
                <w:sz w:val="20"/>
                <w:szCs w:val="20"/>
              </w:rPr>
            </w:pPr>
            <w:r w:rsidRPr="36677BBF">
              <w:rPr>
                <w:rFonts w:ascii="Aptos" w:hAnsi="Aptos" w:cs="Arial"/>
                <w:sz w:val="20"/>
                <w:szCs w:val="20"/>
              </w:rPr>
              <w:t xml:space="preserve">The phages in this proposal are either unclassified or belong to the genera </w:t>
            </w:r>
            <w:r w:rsidRPr="36677BBF">
              <w:rPr>
                <w:rFonts w:ascii="Aptos" w:hAnsi="Aptos" w:cs="Arial"/>
                <w:i/>
                <w:iCs/>
                <w:sz w:val="20"/>
                <w:szCs w:val="20"/>
              </w:rPr>
              <w:t>Getseptimavirus, Tinduovirus, Montyvirus, Woesvirus</w:t>
            </w:r>
            <w:r w:rsidRPr="36677BBF">
              <w:rPr>
                <w:rFonts w:ascii="Aptos" w:hAnsi="Aptos" w:cs="Arial"/>
                <w:sz w:val="20"/>
                <w:szCs w:val="20"/>
              </w:rPr>
              <w:t xml:space="preserve">, </w:t>
            </w:r>
            <w:r w:rsidRPr="36677BBF">
              <w:rPr>
                <w:rFonts w:ascii="Aptos" w:hAnsi="Aptos" w:cs="Arial"/>
                <w:i/>
                <w:iCs/>
                <w:sz w:val="20"/>
                <w:szCs w:val="20"/>
              </w:rPr>
              <w:t>Docdeeseptimavirus</w:t>
            </w:r>
            <w:r w:rsidRPr="36677BBF">
              <w:rPr>
                <w:rFonts w:ascii="Aptos" w:hAnsi="Aptos" w:cs="Arial"/>
                <w:sz w:val="20"/>
                <w:szCs w:val="20"/>
              </w:rPr>
              <w:t xml:space="preserve"> and </w:t>
            </w:r>
            <w:r w:rsidRPr="36677BBF">
              <w:rPr>
                <w:rFonts w:ascii="Aptos" w:hAnsi="Aptos" w:cs="Arial"/>
                <w:i/>
                <w:iCs/>
                <w:sz w:val="20"/>
                <w:szCs w:val="20"/>
              </w:rPr>
              <w:t>Demosthenesvirus</w:t>
            </w:r>
          </w:p>
          <w:p w14:paraId="08B26999" w14:textId="77777777" w:rsidR="00FE6787" w:rsidRDefault="00FE6787" w:rsidP="00FE6787">
            <w:pPr>
              <w:rPr>
                <w:rFonts w:ascii="Aptos" w:hAnsi="Aptos" w:cs="Arial"/>
                <w:sz w:val="20"/>
                <w:szCs w:val="20"/>
              </w:rPr>
            </w:pPr>
          </w:p>
          <w:p w14:paraId="3F89BE0A" w14:textId="77777777" w:rsidR="00FE6787" w:rsidRPr="00FF0870" w:rsidRDefault="00FE6787" w:rsidP="00FE6787">
            <w:r w:rsidRPr="36677BBF">
              <w:rPr>
                <w:rFonts w:ascii="Aptos" w:hAnsi="Aptos" w:cs="Arial"/>
                <w:i/>
                <w:iCs/>
                <w:sz w:val="20"/>
                <w:szCs w:val="20"/>
              </w:rPr>
              <w:t>Proposed</w:t>
            </w:r>
            <w:r w:rsidRPr="36677BBF">
              <w:rPr>
                <w:rFonts w:ascii="Aptos" w:hAnsi="Aptos" w:cs="Arial"/>
                <w:sz w:val="20"/>
                <w:szCs w:val="20"/>
              </w:rPr>
              <w:t xml:space="preserve"> </w:t>
            </w:r>
            <w:r w:rsidRPr="36677BBF">
              <w:rPr>
                <w:rFonts w:ascii="Aptos" w:hAnsi="Aptos" w:cs="Arial"/>
                <w:i/>
                <w:iCs/>
                <w:sz w:val="20"/>
                <w:szCs w:val="20"/>
              </w:rPr>
              <w:t>taxonomic change(s)</w:t>
            </w:r>
            <w:r w:rsidRPr="36677BBF">
              <w:rPr>
                <w:rFonts w:ascii="Aptos" w:hAnsi="Aptos" w:cs="Arial"/>
                <w:sz w:val="20"/>
                <w:szCs w:val="20"/>
              </w:rPr>
              <w:t>:</w:t>
            </w:r>
          </w:p>
          <w:p w14:paraId="224C6CF6" w14:textId="4B037BDD" w:rsidR="00FE6787" w:rsidRPr="00B57245" w:rsidRDefault="00FE6787" w:rsidP="00FE6787">
            <w:pPr>
              <w:rPr>
                <w:rFonts w:ascii="Aptos" w:hAnsi="Aptos" w:cs="Arial"/>
                <w:sz w:val="20"/>
                <w:szCs w:val="20"/>
              </w:rPr>
            </w:pPr>
            <w:r w:rsidRPr="36677BBF">
              <w:rPr>
                <w:rFonts w:ascii="Aptos" w:hAnsi="Aptos" w:cs="Arial"/>
                <w:sz w:val="20"/>
                <w:szCs w:val="20"/>
              </w:rPr>
              <w:t xml:space="preserve">We propose to create a new family </w:t>
            </w:r>
            <w:r w:rsidR="00EE312E">
              <w:rPr>
                <w:rFonts w:ascii="Aptos" w:hAnsi="Aptos" w:cs="Arial"/>
                <w:sz w:val="20"/>
                <w:szCs w:val="20"/>
              </w:rPr>
              <w:t>“</w:t>
            </w:r>
            <w:r w:rsidRPr="36677BBF">
              <w:rPr>
                <w:rFonts w:ascii="Aptos" w:hAnsi="Aptos" w:cs="Arial"/>
                <w:i/>
                <w:iCs/>
                <w:sz w:val="20"/>
                <w:szCs w:val="20"/>
              </w:rPr>
              <w:t>Szybalskiviridae</w:t>
            </w:r>
            <w:r w:rsidR="00EE312E">
              <w:rPr>
                <w:rFonts w:ascii="Aptos" w:hAnsi="Aptos" w:cs="Arial"/>
                <w:i/>
                <w:iCs/>
                <w:sz w:val="20"/>
                <w:szCs w:val="20"/>
              </w:rPr>
              <w:t>”</w:t>
            </w:r>
            <w:r w:rsidRPr="36677BBF">
              <w:rPr>
                <w:rFonts w:ascii="Aptos" w:hAnsi="Aptos" w:cs="Arial"/>
                <w:sz w:val="20"/>
                <w:szCs w:val="20"/>
              </w:rPr>
              <w:t xml:space="preserve"> containing </w:t>
            </w:r>
            <w:r w:rsidR="00EE312E" w:rsidRPr="36677BBF">
              <w:rPr>
                <w:rFonts w:ascii="Aptos" w:hAnsi="Aptos" w:cs="Arial"/>
                <w:sz w:val="20"/>
                <w:szCs w:val="20"/>
              </w:rPr>
              <w:t xml:space="preserve">the genera </w:t>
            </w:r>
            <w:r w:rsidR="00EE312E" w:rsidRPr="36677BBF">
              <w:rPr>
                <w:rFonts w:ascii="Aptos" w:hAnsi="Aptos" w:cs="Arial"/>
                <w:i/>
                <w:iCs/>
                <w:sz w:val="20"/>
                <w:szCs w:val="20"/>
              </w:rPr>
              <w:t>Getseptimavirus, Tinduovirus, Montyvirus, Woesvirus</w:t>
            </w:r>
            <w:r w:rsidR="00EE312E" w:rsidRPr="36677BBF">
              <w:rPr>
                <w:rFonts w:ascii="Aptos" w:hAnsi="Aptos" w:cs="Arial"/>
                <w:sz w:val="20"/>
                <w:szCs w:val="20"/>
              </w:rPr>
              <w:t xml:space="preserve">, </w:t>
            </w:r>
            <w:r w:rsidR="00EE312E" w:rsidRPr="36677BBF">
              <w:rPr>
                <w:rFonts w:ascii="Aptos" w:hAnsi="Aptos" w:cs="Arial"/>
                <w:i/>
                <w:iCs/>
                <w:sz w:val="20"/>
                <w:szCs w:val="20"/>
              </w:rPr>
              <w:t>Docdeeseptimavirus</w:t>
            </w:r>
            <w:r w:rsidR="00EE312E" w:rsidRPr="36677BBF">
              <w:rPr>
                <w:rFonts w:ascii="Aptos" w:hAnsi="Aptos" w:cs="Arial"/>
                <w:sz w:val="20"/>
                <w:szCs w:val="20"/>
              </w:rPr>
              <w:t xml:space="preserve"> and </w:t>
            </w:r>
            <w:r w:rsidR="00EE312E" w:rsidRPr="36677BBF">
              <w:rPr>
                <w:rFonts w:ascii="Aptos" w:hAnsi="Aptos" w:cs="Arial"/>
                <w:i/>
                <w:iCs/>
                <w:sz w:val="20"/>
                <w:szCs w:val="20"/>
              </w:rPr>
              <w:t>Demosthenesvirus</w:t>
            </w:r>
            <w:r w:rsidR="00EE312E">
              <w:rPr>
                <w:rFonts w:ascii="Aptos" w:hAnsi="Aptos" w:cs="Arial"/>
                <w:sz w:val="20"/>
                <w:szCs w:val="20"/>
              </w:rPr>
              <w:t xml:space="preserve">, and one new genus </w:t>
            </w:r>
            <w:r w:rsidR="00B57245">
              <w:rPr>
                <w:rFonts w:ascii="Aptos" w:hAnsi="Aptos" w:cs="Arial"/>
                <w:i/>
                <w:iCs/>
                <w:sz w:val="20"/>
                <w:szCs w:val="20"/>
              </w:rPr>
              <w:t>“Philonvirus”</w:t>
            </w:r>
            <w:r w:rsidR="00B57245">
              <w:rPr>
                <w:rFonts w:ascii="Aptos" w:hAnsi="Aptos" w:cs="Arial"/>
                <w:sz w:val="20"/>
                <w:szCs w:val="20"/>
              </w:rPr>
              <w:t>.</w:t>
            </w:r>
          </w:p>
          <w:p w14:paraId="68FCDF59" w14:textId="77777777" w:rsidR="00FE6787" w:rsidRDefault="00FE6787" w:rsidP="00FE6787">
            <w:pPr>
              <w:tabs>
                <w:tab w:val="left" w:pos="6850"/>
              </w:tabs>
              <w:rPr>
                <w:rFonts w:ascii="Aptos" w:hAnsi="Aptos" w:cs="Arial"/>
                <w:sz w:val="20"/>
                <w:szCs w:val="20"/>
              </w:rPr>
            </w:pPr>
            <w:r>
              <w:rPr>
                <w:rFonts w:ascii="Aptos" w:hAnsi="Aptos" w:cs="Arial"/>
                <w:sz w:val="20"/>
                <w:szCs w:val="20"/>
              </w:rPr>
              <w:t xml:space="preserve"> </w:t>
            </w:r>
          </w:p>
          <w:p w14:paraId="48114C32" w14:textId="77777777" w:rsidR="00FE6787" w:rsidRDefault="00FE6787" w:rsidP="00FE6787">
            <w:pPr>
              <w:rPr>
                <w:rFonts w:ascii="Aptos" w:hAnsi="Aptos" w:cs="Arial"/>
                <w:iCs/>
                <w:sz w:val="20"/>
                <w:szCs w:val="20"/>
              </w:rPr>
            </w:pPr>
            <w:r>
              <w:rPr>
                <w:rFonts w:ascii="Aptos" w:hAnsi="Aptos" w:cs="Arial"/>
                <w:i/>
                <w:sz w:val="20"/>
                <w:szCs w:val="20"/>
              </w:rPr>
              <w:t xml:space="preserve">Demarcation criteria for new taxon/taxa: </w:t>
            </w:r>
          </w:p>
          <w:p w14:paraId="5AA50576" w14:textId="77777777" w:rsidR="00FE6787" w:rsidRPr="008743C4" w:rsidRDefault="00FE6787" w:rsidP="00FE6787">
            <w:pPr>
              <w:rPr>
                <w:rFonts w:ascii="Aptos" w:hAnsi="Aptos" w:cs="Arial"/>
                <w:iCs/>
                <w:sz w:val="20"/>
                <w:szCs w:val="20"/>
              </w:rPr>
            </w:pPr>
            <w:r w:rsidRPr="008743C4">
              <w:rPr>
                <w:rFonts w:ascii="Aptos" w:hAnsi="Aptos" w:cs="Arial"/>
                <w:iCs/>
                <w:sz w:val="20"/>
                <w:szCs w:val="20"/>
              </w:rPr>
              <w:t xml:space="preserve">Species demarcation criteria: Two phages are assigned to the same species if their genomes are more than 95% identical over their genome length for isolates. </w:t>
            </w:r>
            <w:r>
              <w:rPr>
                <w:rFonts w:ascii="Aptos" w:hAnsi="Aptos" w:cs="Arial"/>
                <w:iCs/>
                <w:sz w:val="20"/>
                <w:szCs w:val="20"/>
              </w:rPr>
              <w:t xml:space="preserve"> </w:t>
            </w:r>
            <w:r w:rsidRPr="008743C4">
              <w:rPr>
                <w:rFonts w:ascii="Aptos" w:hAnsi="Aptos" w:cs="Arial"/>
                <w:iCs/>
                <w:sz w:val="20"/>
                <w:szCs w:val="20"/>
              </w:rPr>
              <w:t xml:space="preserve">These values can be calculated by a </w:t>
            </w:r>
            <w:r w:rsidRPr="008743C4">
              <w:rPr>
                <w:rFonts w:ascii="Aptos" w:hAnsi="Aptos" w:cs="Arial"/>
                <w:iCs/>
                <w:sz w:val="20"/>
                <w:szCs w:val="20"/>
              </w:rPr>
              <w:lastRenderedPageBreak/>
              <w:t>number of tools, such as BLASTn [1,2] – usually calculated using intergenomic distance calculator VIRIDIC [3].</w:t>
            </w:r>
          </w:p>
          <w:p w14:paraId="07CF5DE8" w14:textId="77777777" w:rsidR="00FE6787" w:rsidRPr="008743C4" w:rsidRDefault="00FE6787" w:rsidP="00FE6787">
            <w:pPr>
              <w:rPr>
                <w:rFonts w:ascii="Aptos" w:hAnsi="Aptos" w:cs="Arial"/>
                <w:iCs/>
                <w:sz w:val="20"/>
                <w:szCs w:val="20"/>
              </w:rPr>
            </w:pPr>
          </w:p>
          <w:p w14:paraId="39523F2F" w14:textId="77777777" w:rsidR="00FE6787" w:rsidRPr="008743C4" w:rsidRDefault="00FE6787" w:rsidP="00FE6787">
            <w:pPr>
              <w:rPr>
                <w:rFonts w:ascii="Aptos" w:hAnsi="Aptos" w:cs="Arial"/>
                <w:iCs/>
                <w:sz w:val="20"/>
                <w:szCs w:val="20"/>
              </w:rPr>
            </w:pPr>
            <w:r w:rsidRPr="008743C4">
              <w:rPr>
                <w:rFonts w:ascii="Aptos" w:hAnsi="Aptos" w:cs="Arial"/>
                <w:i/>
                <w:sz w:val="20"/>
                <w:szCs w:val="20"/>
              </w:rPr>
              <w:t>Genus demarcation criteria</w:t>
            </w:r>
            <w:r w:rsidRPr="008743C4">
              <w:rPr>
                <w:rFonts w:ascii="Aptos" w:hAnsi="Aptos" w:cs="Arial"/>
                <w:iCs/>
                <w:sz w:val="20"/>
                <w:szCs w:val="20"/>
              </w:rPr>
              <w:t>: 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[10].</w:t>
            </w:r>
          </w:p>
          <w:p w14:paraId="234EC6DE" w14:textId="77777777" w:rsidR="00FE6787" w:rsidRPr="008743C4" w:rsidRDefault="00FE6787" w:rsidP="00FE6787">
            <w:pPr>
              <w:rPr>
                <w:rFonts w:ascii="Aptos" w:hAnsi="Aptos" w:cs="Arial"/>
                <w:iCs/>
                <w:sz w:val="20"/>
                <w:szCs w:val="20"/>
              </w:rPr>
            </w:pPr>
          </w:p>
          <w:p w14:paraId="202FEF7E" w14:textId="77777777" w:rsidR="00FE6787" w:rsidRPr="008743C4" w:rsidRDefault="00FE6787" w:rsidP="00FE6787">
            <w:pPr>
              <w:rPr>
                <w:rFonts w:ascii="Aptos" w:hAnsi="Aptos" w:cs="Arial"/>
                <w:iCs/>
                <w:sz w:val="20"/>
                <w:szCs w:val="20"/>
              </w:rPr>
            </w:pPr>
            <w:r w:rsidRPr="008743C4">
              <w:rPr>
                <w:rFonts w:ascii="Aptos" w:hAnsi="Aptos" w:cs="Arial"/>
                <w:i/>
                <w:sz w:val="20"/>
                <w:szCs w:val="20"/>
              </w:rPr>
              <w:t>Subfamily demarcation criteria</w:t>
            </w:r>
            <w:r w:rsidRPr="008743C4">
              <w:rPr>
                <w:rFonts w:ascii="Aptos" w:hAnsi="Aptos" w:cs="Arial"/>
                <w:iCs/>
                <w:sz w:val="20"/>
                <w:szCs w:val="20"/>
              </w:rPr>
              <w:t>: Subfamilies are to be created when two or more genera are related below the family level. In practical terms, this usually means that they share a low degree of sequence similarity (usually about 40-50%) and that the genera form a clade in a marker tree phylogeny [10].</w:t>
            </w:r>
          </w:p>
          <w:p w14:paraId="6A037B21" w14:textId="77777777" w:rsidR="00FE6787" w:rsidRPr="008743C4" w:rsidRDefault="00FE6787" w:rsidP="00FE6787">
            <w:pPr>
              <w:rPr>
                <w:rFonts w:ascii="Aptos" w:hAnsi="Aptos" w:cs="Arial"/>
                <w:iCs/>
                <w:sz w:val="20"/>
                <w:szCs w:val="20"/>
              </w:rPr>
            </w:pPr>
          </w:p>
          <w:p w14:paraId="22979055" w14:textId="77777777" w:rsidR="00FE6787" w:rsidRPr="008743C4" w:rsidRDefault="00FE6787" w:rsidP="00FE6787">
            <w:pPr>
              <w:rPr>
                <w:rFonts w:ascii="Aptos" w:hAnsi="Aptos" w:cs="Arial"/>
                <w:iCs/>
                <w:sz w:val="20"/>
                <w:szCs w:val="20"/>
              </w:rPr>
            </w:pPr>
            <w:r w:rsidRPr="008743C4">
              <w:rPr>
                <w:rFonts w:ascii="Aptos" w:hAnsi="Aptos" w:cs="Arial"/>
                <w:i/>
                <w:sz w:val="20"/>
                <w:szCs w:val="20"/>
              </w:rPr>
              <w:t>Family demarcation criteria</w:t>
            </w:r>
            <w:r w:rsidRPr="008743C4">
              <w:rPr>
                <w:rFonts w:ascii="Aptos" w:hAnsi="Aptos" w:cs="Arial"/>
                <w:iCs/>
                <w:sz w:val="20"/>
                <w:szCs w:val="20"/>
              </w:rPr>
              <w:t>: The family is represented by a cohesive and monophyletic group in the main predicted proteome-based clustering tools (VirClust, ViPTree, GRAViTy dendrogram, vConTACT2 network).  Members of the family share a significant number of orthologous genes (the number will depend on the genome sizes and number of coding sequences of members of the family) [10].</w:t>
            </w:r>
          </w:p>
          <w:p w14:paraId="2B88E393" w14:textId="77777777" w:rsidR="00FE6787" w:rsidRPr="008743C4" w:rsidRDefault="00FE6787" w:rsidP="00FE6787">
            <w:pPr>
              <w:rPr>
                <w:rFonts w:ascii="Aptos" w:hAnsi="Aptos" w:cs="Arial"/>
                <w:iCs/>
                <w:sz w:val="20"/>
                <w:szCs w:val="20"/>
              </w:rPr>
            </w:pPr>
          </w:p>
          <w:p w14:paraId="3D8F37F3" w14:textId="77777777" w:rsidR="00FE6787" w:rsidRDefault="00FE6787" w:rsidP="00FE6787">
            <w:pPr>
              <w:rPr>
                <w:rFonts w:ascii="Aptos" w:hAnsi="Aptos" w:cs="Arial"/>
                <w:sz w:val="20"/>
                <w:szCs w:val="20"/>
              </w:rPr>
            </w:pPr>
            <w:r w:rsidRPr="36677BBF">
              <w:rPr>
                <w:rFonts w:ascii="Aptos" w:hAnsi="Aptos" w:cs="Arial"/>
                <w:i/>
                <w:iCs/>
                <w:sz w:val="20"/>
                <w:szCs w:val="20"/>
              </w:rPr>
              <w:t>Justification</w:t>
            </w:r>
            <w:r w:rsidRPr="36677BBF">
              <w:rPr>
                <w:rFonts w:ascii="Aptos" w:hAnsi="Aptos" w:cs="Arial"/>
                <w:sz w:val="20"/>
                <w:szCs w:val="20"/>
              </w:rPr>
              <w:t xml:space="preserve">:   </w:t>
            </w:r>
          </w:p>
          <w:p w14:paraId="6439F55D" w14:textId="504A11D7" w:rsidR="00A77B8E" w:rsidRDefault="00FE6787" w:rsidP="00FE6787">
            <w:pPr>
              <w:rPr>
                <w:rFonts w:ascii="Aptos" w:hAnsi="Aptos" w:cs="Arial"/>
                <w:color w:val="0000FF"/>
                <w:sz w:val="20"/>
                <w:szCs w:val="20"/>
              </w:rPr>
            </w:pPr>
            <w:r w:rsidRPr="004E3C35">
              <w:rPr>
                <w:rFonts w:ascii="Aptos" w:hAnsi="Aptos"/>
                <w:sz w:val="20"/>
                <w:szCs w:val="20"/>
              </w:rPr>
              <w:t>Intergenomic nucleotide similarities calculated using VIRIDIC demonstrate that these phages share at minimum </w:t>
            </w:r>
            <w:r>
              <w:rPr>
                <w:rFonts w:ascii="Aptos" w:hAnsi="Aptos"/>
                <w:sz w:val="20"/>
                <w:szCs w:val="20"/>
              </w:rPr>
              <w:t>25</w:t>
            </w:r>
            <w:r w:rsidRPr="004E3C35">
              <w:rPr>
                <w:rFonts w:ascii="Aptos" w:hAnsi="Aptos"/>
                <w:sz w:val="20"/>
                <w:szCs w:val="20"/>
              </w:rPr>
              <w:t xml:space="preserve">% similarity. Each of the proposed genera and species exhibit similarity which satisfy the demarcation criteria established by the Bacterial Viruses Subcommittee. Phylogenetic analyses of the </w:t>
            </w:r>
            <w:r w:rsidR="00866E9E">
              <w:rPr>
                <w:rFonts w:ascii="Aptos" w:hAnsi="Aptos"/>
                <w:sz w:val="20"/>
                <w:szCs w:val="20"/>
              </w:rPr>
              <w:t>large terminase subunit</w:t>
            </w:r>
            <w:r w:rsidRPr="004E3C35">
              <w:rPr>
                <w:rFonts w:ascii="Aptos" w:hAnsi="Aptos"/>
                <w:sz w:val="20"/>
                <w:szCs w:val="20"/>
              </w:rPr>
              <w:t xml:space="preserve"> and TBLASTX distance analysis</w:t>
            </w:r>
            <w:r>
              <w:rPr>
                <w:rFonts w:ascii="Aptos" w:hAnsi="Aptos"/>
                <w:sz w:val="20"/>
                <w:szCs w:val="20"/>
              </w:rPr>
              <w:t xml:space="preserve"> </w:t>
            </w:r>
            <w:r w:rsidRPr="004E3C35">
              <w:rPr>
                <w:rFonts w:ascii="Aptos" w:hAnsi="Aptos"/>
                <w:sz w:val="20"/>
                <w:szCs w:val="20"/>
              </w:rPr>
              <w:t xml:space="preserve">using ViPTree demonstrate that these </w:t>
            </w:r>
            <w:r>
              <w:rPr>
                <w:rFonts w:ascii="Aptos" w:hAnsi="Aptos"/>
                <w:sz w:val="20"/>
                <w:szCs w:val="20"/>
              </w:rPr>
              <w:t>Gordonia</w:t>
            </w:r>
            <w:r w:rsidRPr="004E3C35">
              <w:rPr>
                <w:rFonts w:ascii="Aptos" w:hAnsi="Aptos"/>
                <w:sz w:val="20"/>
                <w:szCs w:val="20"/>
              </w:rPr>
              <w:t> siphoviruses form a cohesive clade at the family level. CoreGenes</w:t>
            </w:r>
            <w:r>
              <w:rPr>
                <w:rFonts w:ascii="Aptos" w:hAnsi="Aptos"/>
                <w:sz w:val="20"/>
                <w:szCs w:val="20"/>
              </w:rPr>
              <w:t xml:space="preserve"> </w:t>
            </w:r>
            <w:r w:rsidRPr="004E3C35">
              <w:rPr>
                <w:rFonts w:ascii="Aptos" w:hAnsi="Aptos"/>
                <w:sz w:val="20"/>
                <w:szCs w:val="20"/>
              </w:rPr>
              <w:t>5 analysis revealed that representative species of this family all share </w:t>
            </w:r>
            <w:r>
              <w:rPr>
                <w:rFonts w:ascii="Aptos" w:hAnsi="Aptos"/>
                <w:sz w:val="20"/>
                <w:szCs w:val="20"/>
              </w:rPr>
              <w:t>39</w:t>
            </w:r>
            <w:r w:rsidRPr="004E3C35">
              <w:rPr>
                <w:rFonts w:ascii="Aptos" w:hAnsi="Aptos"/>
                <w:sz w:val="20"/>
                <w:szCs w:val="20"/>
              </w:rPr>
              <w:t xml:space="preserve"> (</w:t>
            </w:r>
            <w:r>
              <w:rPr>
                <w:rFonts w:ascii="Aptos" w:hAnsi="Aptos"/>
                <w:sz w:val="20"/>
                <w:szCs w:val="20"/>
              </w:rPr>
              <w:t>36</w:t>
            </w:r>
            <w:r w:rsidRPr="004E3C35">
              <w:rPr>
                <w:rFonts w:ascii="Aptos" w:hAnsi="Aptos"/>
                <w:sz w:val="20"/>
                <w:szCs w:val="20"/>
              </w:rPr>
              <w:t>%) common proteins</w:t>
            </w:r>
            <w:r w:rsidR="00866E9E">
              <w:rPr>
                <w:rFonts w:ascii="Aptos" w:hAnsi="Aptos"/>
                <w:sz w:val="20"/>
                <w:szCs w:val="20"/>
              </w:rPr>
              <w:t xml:space="preserve"> which include the </w:t>
            </w:r>
            <w:r w:rsidR="00866E9E" w:rsidRPr="00866E9E">
              <w:rPr>
                <w:rFonts w:ascii="Aptos" w:hAnsi="Aptos"/>
                <w:sz w:val="20"/>
                <w:szCs w:val="20"/>
              </w:rPr>
              <w:t>terminase large subunit, portal protein, head maturation protease</w:t>
            </w:r>
            <w:r w:rsidR="00866E9E">
              <w:rPr>
                <w:rFonts w:ascii="Aptos" w:hAnsi="Aptos"/>
                <w:sz w:val="20"/>
                <w:szCs w:val="20"/>
              </w:rPr>
              <w:t xml:space="preserve"> and</w:t>
            </w:r>
            <w:r w:rsidR="00866E9E" w:rsidRPr="00866E9E">
              <w:rPr>
                <w:rFonts w:ascii="Aptos" w:hAnsi="Aptos"/>
                <w:sz w:val="20"/>
                <w:szCs w:val="20"/>
              </w:rPr>
              <w:t xml:space="preserve"> major head protein</w:t>
            </w:r>
            <w:r w:rsidR="00866E9E">
              <w:rPr>
                <w:rFonts w:ascii="Aptos" w:hAnsi="Aptos"/>
                <w:sz w:val="20"/>
                <w:szCs w:val="20"/>
              </w:rPr>
              <w:t>.</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2AA39E46" w14:textId="77777777" w:rsidR="000C14E4" w:rsidRDefault="00C0710C" w:rsidP="00C0710C">
            <w:pPr>
              <w:rPr>
                <w:rFonts w:ascii="Aptos" w:hAnsi="Aptos"/>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r w:rsidR="000C14E4">
              <w:rPr>
                <w:rFonts w:ascii="Aptos" w:hAnsi="Aptos"/>
                <w:sz w:val="20"/>
                <w:szCs w:val="20"/>
              </w:rPr>
              <w:t xml:space="preserve"> </w:t>
            </w:r>
          </w:p>
          <w:p w14:paraId="11D22677" w14:textId="370DE1FE" w:rsidR="00953FFE" w:rsidRDefault="000C14E4" w:rsidP="00C0710C">
            <w:pPr>
              <w:rPr>
                <w:rFonts w:ascii="Aptos" w:hAnsi="Aptos"/>
                <w:sz w:val="20"/>
                <w:szCs w:val="20"/>
              </w:rPr>
            </w:pPr>
            <w:r>
              <w:rPr>
                <w:rFonts w:ascii="Aptos" w:hAnsi="Aptos"/>
                <w:sz w:val="20"/>
                <w:szCs w:val="20"/>
              </w:rPr>
              <w:lastRenderedPageBreak/>
              <w:t xml:space="preserve">10. </w:t>
            </w:r>
            <w:r w:rsidRPr="000C14E4">
              <w:rPr>
                <w:rFonts w:ascii="Aptos" w:hAnsi="Aptos"/>
                <w:sz w:val="20"/>
                <w:szCs w:val="20"/>
              </w:rPr>
              <w:t>Cook R, Brown N, Redgwell T, Rihtman B, Barnes M, Clokie M, Stekel DJ, Hobman J, Jones MA, Millard A. INfrastructure for a PHAge REference Database: Identification of Large-Scale Biases in the Current Collection of Cultured Phage Genomes. Phage (New Rochelle). 2021 Dec 1;2(4):214-223. doi: 10.1089/phage.2021.0007. Epub 2021 Dec 16. PMID: 36159887; PMCID: PMC9041510.</w:t>
            </w:r>
          </w:p>
          <w:p w14:paraId="0352EC37" w14:textId="6FF5E3CF" w:rsidR="00F7064A" w:rsidRPr="00BE4F5A" w:rsidRDefault="00C06CB1" w:rsidP="00C0710C">
            <w:pPr>
              <w:rPr>
                <w:rFonts w:ascii="Aptos" w:hAnsi="Aptos" w:cs="Arial"/>
                <w:sz w:val="20"/>
                <w:szCs w:val="20"/>
              </w:rPr>
            </w:pPr>
            <w:r>
              <w:rPr>
                <w:rFonts w:ascii="Aptos" w:hAnsi="Aptos" w:cs="Arial"/>
                <w:sz w:val="20"/>
                <w:szCs w:val="20"/>
              </w:rPr>
              <w:t xml:space="preserve">11. </w:t>
            </w:r>
            <w:r w:rsidRPr="00C06CB1">
              <w:rPr>
                <w:rFonts w:ascii="Aptos" w:hAnsi="Aptos" w:cs="Arial"/>
                <w:sz w:val="20"/>
                <w:szCs w:val="20"/>
              </w:rPr>
              <w:t>Moraru C. VirClust-A Tool for Hierarchical Clustering, Core Protein Detection and Annotation of (Prokaryotic) Viruses. Viruses. 2023 Apr 19;15(4):1007. doi: 10.3390/v15041007. PMID: 37112988; PMCID: PMC10143988.</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496"/>
        <w:gridCol w:w="6430"/>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3D03718F"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3B969E23" w:rsidR="00FC2269" w:rsidRPr="00CF59EA" w:rsidRDefault="006D1C4B" w:rsidP="005F790F">
            <w:pPr>
              <w:rPr>
                <w:rFonts w:ascii="Aptos" w:hAnsi="Aptos" w:cs="Arial"/>
                <w:b/>
                <w:sz w:val="20"/>
                <w:szCs w:val="20"/>
              </w:rPr>
            </w:pPr>
            <w:r>
              <w:rPr>
                <w:rFonts w:ascii="Aptos" w:hAnsi="Aptos" w:cs="Arial"/>
                <w:b/>
                <w:sz w:val="20"/>
                <w:szCs w:val="20"/>
              </w:rPr>
              <w:t>Szybalskiviridae_1nf_6ng</w:t>
            </w:r>
          </w:p>
        </w:tc>
        <w:tc>
          <w:tcPr>
            <w:tcW w:w="6663" w:type="dxa"/>
          </w:tcPr>
          <w:p w14:paraId="22F4B256" w14:textId="6A22DAC7" w:rsidR="00FC2269" w:rsidRPr="00CF59EA" w:rsidRDefault="006D1C4B" w:rsidP="005F790F">
            <w:pPr>
              <w:rPr>
                <w:rFonts w:ascii="Aptos" w:hAnsi="Aptos" w:cs="Arial"/>
                <w:b/>
                <w:sz w:val="20"/>
                <w:szCs w:val="20"/>
              </w:rPr>
            </w:pPr>
            <w:r>
              <w:rPr>
                <w:rFonts w:ascii="Aptos" w:hAnsi="Aptos" w:cs="Arial"/>
                <w:b/>
                <w:sz w:val="20"/>
                <w:szCs w:val="20"/>
              </w:rPr>
              <w:t>Excel spreadsheet accompanying this TaxoProp.</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5335F6FA"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42943583" w14:textId="3CC8B4D4" w:rsidR="003F7AA8" w:rsidRDefault="0034601F" w:rsidP="004B151F">
      <w:pPr>
        <w:rPr>
          <w:rFonts w:ascii="Aptos" w:hAnsi="Aptos"/>
          <w:b/>
          <w:bCs/>
        </w:rPr>
      </w:pPr>
      <w:r>
        <w:rPr>
          <w:rFonts w:ascii="Aptos" w:hAnsi="Aptos"/>
          <w:b/>
          <w:bCs/>
          <w:noProof/>
        </w:rPr>
        <w:drawing>
          <wp:inline distT="0" distB="0" distL="0" distR="0" wp14:anchorId="7ACDF271" wp14:editId="4F4B50BC">
            <wp:extent cx="5926455" cy="1812925"/>
            <wp:effectExtent l="0" t="0" r="0" b="0"/>
            <wp:docPr id="1820340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40050" name="Picture 182034005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26455" cy="1812925"/>
                    </a:xfrm>
                    <a:prstGeom prst="rect">
                      <a:avLst/>
                    </a:prstGeom>
                  </pic:spPr>
                </pic:pic>
              </a:graphicData>
            </a:graphic>
          </wp:inline>
        </w:drawing>
      </w:r>
    </w:p>
    <w:p w14:paraId="21FA4BD4" w14:textId="77777777" w:rsidR="003F7AA8" w:rsidRPr="003F7AA8" w:rsidRDefault="003F7AA8" w:rsidP="003F7AA8">
      <w:pPr>
        <w:jc w:val="both"/>
        <w:rPr>
          <w:rFonts w:ascii="Calibri" w:hAnsi="Calibri" w:cs="Calibri"/>
          <w:color w:val="000000"/>
          <w:sz w:val="22"/>
          <w:szCs w:val="22"/>
          <w:lang w:val="en-CA" w:eastAsia="en-CA"/>
        </w:rPr>
      </w:pPr>
    </w:p>
    <w:p w14:paraId="1A3BD22B" w14:textId="051D92D7" w:rsidR="003F7AA8" w:rsidRPr="003F7AA8" w:rsidRDefault="003F7AA8" w:rsidP="003F7AA8">
      <w:pPr>
        <w:jc w:val="both"/>
        <w:rPr>
          <w:rFonts w:ascii="Aptos" w:hAnsi="Aptos" w:cs="Calibri"/>
          <w:color w:val="000000"/>
          <w:lang w:val="en-CA" w:eastAsia="en-CA"/>
        </w:rPr>
      </w:pPr>
      <w:r w:rsidRPr="36677BBF">
        <w:rPr>
          <w:rFonts w:ascii="Aptos" w:hAnsi="Aptos" w:cs="Calibri"/>
          <w:b/>
          <w:bCs/>
          <w:color w:val="000000" w:themeColor="text1"/>
          <w:lang w:val="en-CA" w:eastAsia="en-CA"/>
        </w:rPr>
        <w:t>Figure 1.</w:t>
      </w:r>
      <w:r w:rsidRPr="36677BBF">
        <w:rPr>
          <w:rFonts w:ascii="Aptos" w:hAnsi="Aptos" w:cs="Calibri"/>
          <w:color w:val="000000" w:themeColor="text1"/>
          <w:lang w:val="en-CA" w:eastAsia="en-CA"/>
        </w:rPr>
        <w:t xml:space="preserve"> Presence-absence matrix of protein clusters by genome</w:t>
      </w:r>
      <w:r w:rsidR="0034601F" w:rsidRPr="36677BBF">
        <w:rPr>
          <w:rFonts w:ascii="Aptos" w:hAnsi="Aptos" w:cs="Calibri"/>
          <w:color w:val="000000" w:themeColor="text1"/>
          <w:lang w:val="en-CA" w:eastAsia="en-CA"/>
        </w:rPr>
        <w:t xml:space="preserve"> determined using VirClust [11]</w:t>
      </w:r>
      <w:r w:rsidRPr="36677BBF">
        <w:rPr>
          <w:rFonts w:ascii="Aptos" w:hAnsi="Aptos" w:cs="Calibri"/>
          <w:color w:val="000000" w:themeColor="text1"/>
          <w:lang w:val="en-CA" w:eastAsia="en-CA"/>
        </w:rPr>
        <w:t>. Rows and columns were hierarchically clustered using the complete linkage method. Rows represent individual genomes with columns representing protein clusters. Vertical blue bars denote the presence of protein clusters in each genome.</w:t>
      </w:r>
    </w:p>
    <w:p w14:paraId="03FA8069" w14:textId="77777777" w:rsidR="003F7AA8" w:rsidRDefault="003F7AA8" w:rsidP="003F7AA8">
      <w:pPr>
        <w:rPr>
          <w:rFonts w:ascii="Aptos" w:hAnsi="Aptos" w:cs="Calibri"/>
          <w:b/>
          <w:bCs/>
          <w:color w:val="000000"/>
          <w:lang w:val="en-CA" w:eastAsia="en-CA"/>
        </w:rPr>
      </w:pPr>
      <w:r w:rsidRPr="003F7AA8">
        <w:rPr>
          <w:rFonts w:ascii="Aptos" w:hAnsi="Aptos" w:cs="Calibri"/>
          <w:b/>
          <w:bCs/>
          <w:color w:val="000000"/>
          <w:lang w:val="en-CA" w:eastAsia="en-CA"/>
        </w:rPr>
        <w:t> </w:t>
      </w:r>
    </w:p>
    <w:p w14:paraId="48A96E6A" w14:textId="6C56E185" w:rsidR="0034601F" w:rsidRPr="003F7AA8" w:rsidRDefault="0034601F" w:rsidP="003F7AA8">
      <w:pPr>
        <w:rPr>
          <w:rFonts w:ascii="Aptos" w:hAnsi="Aptos" w:cs="Calibri"/>
          <w:color w:val="000000"/>
          <w:lang w:val="en-CA" w:eastAsia="en-CA"/>
        </w:rPr>
      </w:pPr>
      <w:r>
        <w:rPr>
          <w:rFonts w:ascii="Aptos" w:hAnsi="Aptos" w:cs="Calibri"/>
          <w:noProof/>
          <w:color w:val="000000"/>
          <w:lang w:val="en-CA" w:eastAsia="en-CA"/>
        </w:rPr>
        <w:drawing>
          <wp:inline distT="0" distB="0" distL="0" distR="0" wp14:anchorId="5C16A6DF" wp14:editId="15087A85">
            <wp:extent cx="5696243" cy="3041806"/>
            <wp:effectExtent l="0" t="0" r="0" b="6350"/>
            <wp:docPr id="1387547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47300" name="Picture 1387547300"/>
                    <pic:cNvPicPr/>
                  </pic:nvPicPr>
                  <pic:blipFill>
                    <a:blip r:embed="rId11">
                      <a:extLst>
                        <a:ext uri="{28A0092B-C50C-407E-A947-70E740481C1C}">
                          <a14:useLocalDpi xmlns:a14="http://schemas.microsoft.com/office/drawing/2010/main" val="0"/>
                        </a:ext>
                      </a:extLst>
                    </a:blip>
                    <a:stretch>
                      <a:fillRect/>
                    </a:stretch>
                  </pic:blipFill>
                  <pic:spPr>
                    <a:xfrm>
                      <a:off x="0" y="0"/>
                      <a:ext cx="5696243" cy="3041806"/>
                    </a:xfrm>
                    <a:prstGeom prst="rect">
                      <a:avLst/>
                    </a:prstGeom>
                  </pic:spPr>
                </pic:pic>
              </a:graphicData>
            </a:graphic>
          </wp:inline>
        </w:drawing>
      </w:r>
    </w:p>
    <w:p w14:paraId="3C1CE5E1" w14:textId="71C69BED" w:rsidR="003F7AA8" w:rsidRPr="003F7AA8" w:rsidRDefault="003F7AA8" w:rsidP="003F7AA8">
      <w:pPr>
        <w:rPr>
          <w:rFonts w:ascii="Aptos" w:hAnsi="Aptos" w:cs="Calibri"/>
          <w:color w:val="000000"/>
          <w:lang w:val="en-CA" w:eastAsia="en-CA"/>
        </w:rPr>
      </w:pPr>
      <w:r w:rsidRPr="003F7AA8">
        <w:rPr>
          <w:rFonts w:ascii="Aptos" w:hAnsi="Aptos" w:cs="Calibri"/>
          <w:b/>
          <w:bCs/>
          <w:color w:val="000000"/>
          <w:lang w:val="en-CA" w:eastAsia="en-CA"/>
        </w:rPr>
        <w:t xml:space="preserve">Figure </w:t>
      </w:r>
      <w:r>
        <w:rPr>
          <w:rFonts w:ascii="Aptos" w:hAnsi="Aptos" w:cs="Calibri"/>
          <w:b/>
          <w:bCs/>
          <w:color w:val="000000"/>
          <w:lang w:val="en-CA" w:eastAsia="en-CA"/>
        </w:rPr>
        <w:t>2</w:t>
      </w:r>
      <w:r w:rsidRPr="003F7AA8">
        <w:rPr>
          <w:rFonts w:ascii="Aptos" w:hAnsi="Aptos" w:cs="Calibri"/>
          <w:b/>
          <w:bCs/>
          <w:color w:val="000000"/>
          <w:lang w:val="en-CA" w:eastAsia="en-CA"/>
        </w:rPr>
        <w:t xml:space="preserve">. </w:t>
      </w:r>
      <w:r w:rsidRPr="003F7AA8">
        <w:rPr>
          <w:rFonts w:ascii="Aptos" w:hAnsi="Aptos" w:cs="Calibri"/>
          <w:color w:val="000000"/>
          <w:lang w:val="en-CA" w:eastAsia="en-CA"/>
        </w:rPr>
        <w:t>Heatmap of Jaccard similarity calculated from the percentage of shared protein clusters between genomes</w:t>
      </w:r>
      <w:r w:rsidR="0034601F">
        <w:rPr>
          <w:rFonts w:ascii="Aptos" w:hAnsi="Aptos" w:cs="Calibri"/>
          <w:color w:val="000000"/>
          <w:lang w:val="en-CA" w:eastAsia="en-CA"/>
        </w:rPr>
        <w:t>, calculated using VirClust [11]</w:t>
      </w:r>
      <w:r w:rsidRPr="003F7AA8">
        <w:rPr>
          <w:rFonts w:ascii="Aptos" w:hAnsi="Aptos" w:cs="Calibri"/>
          <w:color w:val="000000"/>
          <w:lang w:val="en-CA" w:eastAsia="en-CA"/>
        </w:rPr>
        <w:t>. </w:t>
      </w:r>
    </w:p>
    <w:p w14:paraId="0368A81F" w14:textId="77777777" w:rsidR="003F7AA8" w:rsidRPr="00EE0AC6" w:rsidRDefault="003F7AA8" w:rsidP="004B151F">
      <w:pPr>
        <w:rPr>
          <w:rFonts w:ascii="Aptos" w:hAnsi="Aptos"/>
          <w:b/>
          <w:bCs/>
        </w:rPr>
      </w:pPr>
    </w:p>
    <w:p w14:paraId="2F6A7674" w14:textId="33257945" w:rsidR="0084311F" w:rsidRDefault="00FE595F" w:rsidP="004B151F">
      <w:pPr>
        <w:rPr>
          <w:rFonts w:ascii="Aptos" w:hAnsi="Aptos"/>
          <w:b/>
          <w:bCs/>
        </w:rPr>
      </w:pPr>
      <w:r>
        <w:rPr>
          <w:rFonts w:ascii="Aptos" w:hAnsi="Aptos"/>
          <w:b/>
          <w:bCs/>
          <w:noProof/>
        </w:rPr>
        <w:lastRenderedPageBreak/>
        <w:drawing>
          <wp:inline distT="0" distB="0" distL="0" distR="0" wp14:anchorId="3FAA1EB6" wp14:editId="042FB58E">
            <wp:extent cx="5926455" cy="2354580"/>
            <wp:effectExtent l="0" t="0" r="0" b="7620"/>
            <wp:docPr id="15844529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52905" name="Picture 1584452905"/>
                    <pic:cNvPicPr/>
                  </pic:nvPicPr>
                  <pic:blipFill>
                    <a:blip r:embed="rId12">
                      <a:extLst>
                        <a:ext uri="{28A0092B-C50C-407E-A947-70E740481C1C}">
                          <a14:useLocalDpi xmlns:a14="http://schemas.microsoft.com/office/drawing/2010/main" val="0"/>
                        </a:ext>
                      </a:extLst>
                    </a:blip>
                    <a:stretch>
                      <a:fillRect/>
                    </a:stretch>
                  </pic:blipFill>
                  <pic:spPr>
                    <a:xfrm>
                      <a:off x="0" y="0"/>
                      <a:ext cx="5926455" cy="2354580"/>
                    </a:xfrm>
                    <a:prstGeom prst="rect">
                      <a:avLst/>
                    </a:prstGeom>
                  </pic:spPr>
                </pic:pic>
              </a:graphicData>
            </a:graphic>
          </wp:inline>
        </w:drawing>
      </w:r>
    </w:p>
    <w:p w14:paraId="382DE6D1" w14:textId="07A42194" w:rsidR="004B151F" w:rsidRDefault="004B151F" w:rsidP="004B151F">
      <w:pPr>
        <w:rPr>
          <w:rFonts w:ascii="Aptos" w:hAnsi="Aptos"/>
          <w:b/>
          <w:bCs/>
        </w:rPr>
      </w:pPr>
      <w:r>
        <w:rPr>
          <w:rFonts w:ascii="Aptos" w:hAnsi="Aptos"/>
          <w:b/>
          <w:bCs/>
        </w:rPr>
        <w:t xml:space="preserve">Figure </w:t>
      </w:r>
      <w:r w:rsidR="003F7AA8">
        <w:rPr>
          <w:rFonts w:ascii="Aptos" w:hAnsi="Aptos"/>
          <w:b/>
          <w:bCs/>
        </w:rPr>
        <w:t>3</w:t>
      </w:r>
      <w:r>
        <w:rPr>
          <w:rFonts w:ascii="Aptos" w:hAnsi="Aptos"/>
          <w:b/>
          <w:bCs/>
        </w:rPr>
        <w:t xml:space="preserve">. </w:t>
      </w:r>
      <w:r w:rsidR="0045047F" w:rsidRPr="00A5413E">
        <w:rPr>
          <w:rFonts w:ascii="Aptos" w:hAnsi="Aptos"/>
        </w:rPr>
        <w:t xml:space="preserve">Partial </w:t>
      </w:r>
      <w:r w:rsidR="0045047F">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Because the magnification makes it difficult to examine the data, the original Excel spreadsheet is attached. </w:t>
      </w:r>
      <w:r w:rsidR="00FE595F">
        <w:rPr>
          <w:rFonts w:ascii="Aptos" w:hAnsi="Aptos"/>
        </w:rPr>
        <w:t>Names highlighted in gold correspond to existing species</w:t>
      </w:r>
      <w:r w:rsidR="00A15D19">
        <w:rPr>
          <w:rFonts w:ascii="Aptos" w:hAnsi="Aptos"/>
        </w:rPr>
        <w:t>’ those in green are new species</w:t>
      </w:r>
      <w:r w:rsidR="00FE595F">
        <w:rPr>
          <w:rFonts w:ascii="Aptos" w:hAnsi="Aptos"/>
        </w:rPr>
        <w:t xml:space="preserve">. </w:t>
      </w:r>
      <w:r w:rsidR="0045047F">
        <w:rPr>
          <w:rFonts w:ascii="Aptos" w:hAnsi="Aptos"/>
        </w:rPr>
        <w:t xml:space="preserve">Abbreviations: phg = phage; </w:t>
      </w:r>
      <w:r w:rsidR="00574D1A">
        <w:rPr>
          <w:rFonts w:ascii="Aptos" w:hAnsi="Aptos"/>
        </w:rPr>
        <w:t>Gord</w:t>
      </w:r>
      <w:r w:rsidR="0045047F">
        <w:rPr>
          <w:rFonts w:ascii="Aptos" w:hAnsi="Aptos"/>
        </w:rPr>
        <w:t xml:space="preserve"> = </w:t>
      </w:r>
      <w:r w:rsidR="00FE595F">
        <w:rPr>
          <w:rFonts w:ascii="Aptos" w:hAnsi="Aptos"/>
          <w:i/>
          <w:iCs/>
        </w:rPr>
        <w:t>Gordonia</w:t>
      </w:r>
      <w:r w:rsidR="00FE595F">
        <w:rPr>
          <w:rFonts w:ascii="Aptos" w:hAnsi="Aptos"/>
        </w:rPr>
        <w:t xml:space="preserve">; Rhod = </w:t>
      </w:r>
      <w:r w:rsidR="00FE595F" w:rsidRPr="00FE595F">
        <w:rPr>
          <w:rFonts w:ascii="Aptos" w:hAnsi="Aptos"/>
          <w:i/>
          <w:iCs/>
        </w:rPr>
        <w:t>Rhodococcus</w:t>
      </w:r>
      <w:r w:rsidR="00FE595F">
        <w:rPr>
          <w:rFonts w:ascii="Aptos" w:hAnsi="Aptos"/>
        </w:rPr>
        <w:t xml:space="preserve">; Tsuk = </w:t>
      </w:r>
      <w:r w:rsidR="00FE595F" w:rsidRPr="00FE595F">
        <w:rPr>
          <w:rFonts w:ascii="Aptos" w:hAnsi="Aptos"/>
          <w:i/>
          <w:iCs/>
        </w:rPr>
        <w:t>Tsukamurella</w:t>
      </w:r>
      <w:r w:rsidR="0045047F">
        <w:rPr>
          <w:rFonts w:ascii="Aptos" w:hAnsi="Aptos"/>
          <w:b/>
          <w:bCs/>
        </w:rPr>
        <w:t xml:space="preserve"> </w:t>
      </w:r>
    </w:p>
    <w:p w14:paraId="2C2C0EB8" w14:textId="77777777" w:rsidR="007E0EC0" w:rsidRDefault="007E0EC0" w:rsidP="004B151F">
      <w:pPr>
        <w:rPr>
          <w:rFonts w:ascii="Aptos" w:hAnsi="Aptos"/>
          <w:b/>
          <w:bCs/>
        </w:rPr>
      </w:pPr>
    </w:p>
    <w:p w14:paraId="1B13FB91" w14:textId="77777777" w:rsidR="007E0EC0" w:rsidRDefault="007E0EC0" w:rsidP="004B151F">
      <w:pPr>
        <w:rPr>
          <w:rFonts w:ascii="Aptos" w:hAnsi="Aptos"/>
          <w:b/>
          <w:bCs/>
        </w:rPr>
      </w:pPr>
    </w:p>
    <w:p w14:paraId="5B82EBDB" w14:textId="2B503D04" w:rsidR="007E0EC0" w:rsidRDefault="00574D1A" w:rsidP="004B151F">
      <w:pPr>
        <w:rPr>
          <w:rFonts w:ascii="Aptos" w:hAnsi="Aptos"/>
          <w:b/>
          <w:bCs/>
        </w:rPr>
      </w:pPr>
      <w:r>
        <w:rPr>
          <w:rFonts w:ascii="Aptos" w:hAnsi="Aptos"/>
          <w:b/>
          <w:bCs/>
          <w:noProof/>
        </w:rPr>
        <w:drawing>
          <wp:inline distT="0" distB="0" distL="0" distR="0" wp14:anchorId="40419C71" wp14:editId="35F98179">
            <wp:extent cx="5926455" cy="3225800"/>
            <wp:effectExtent l="0" t="0" r="0" b="0"/>
            <wp:docPr id="471746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746917" name="Picture 471746917"/>
                    <pic:cNvPicPr/>
                  </pic:nvPicPr>
                  <pic:blipFill>
                    <a:blip r:embed="rId13">
                      <a:extLst>
                        <a:ext uri="{28A0092B-C50C-407E-A947-70E740481C1C}">
                          <a14:useLocalDpi xmlns:a14="http://schemas.microsoft.com/office/drawing/2010/main" val="0"/>
                        </a:ext>
                      </a:extLst>
                    </a:blip>
                    <a:stretch>
                      <a:fillRect/>
                    </a:stretch>
                  </pic:blipFill>
                  <pic:spPr>
                    <a:xfrm>
                      <a:off x="0" y="0"/>
                      <a:ext cx="5926455" cy="3225800"/>
                    </a:xfrm>
                    <a:prstGeom prst="rect">
                      <a:avLst/>
                    </a:prstGeom>
                  </pic:spPr>
                </pic:pic>
              </a:graphicData>
            </a:graphic>
          </wp:inline>
        </w:drawing>
      </w:r>
    </w:p>
    <w:p w14:paraId="5FE2BA76" w14:textId="60A9154F" w:rsidR="007E0EC0" w:rsidRPr="00AC7274" w:rsidRDefault="007E0EC0" w:rsidP="007E0EC0">
      <w:pPr>
        <w:rPr>
          <w:rFonts w:ascii="Aptos" w:hAnsi="Aptos"/>
          <w:b/>
          <w:bCs/>
        </w:rPr>
      </w:pPr>
      <w:r w:rsidRPr="00AC7274">
        <w:rPr>
          <w:rFonts w:ascii="Aptos" w:hAnsi="Aptos"/>
          <w:b/>
          <w:bCs/>
        </w:rPr>
        <w:t xml:space="preserve">Figure </w:t>
      </w:r>
      <w:r w:rsidR="003F7AA8">
        <w:rPr>
          <w:rFonts w:ascii="Aptos" w:hAnsi="Aptos"/>
          <w:b/>
          <w:bCs/>
        </w:rPr>
        <w:t>4</w:t>
      </w:r>
      <w:r w:rsidRPr="00AC7274">
        <w:rPr>
          <w:rFonts w:ascii="Aptos" w:hAnsi="Aptos"/>
          <w:b/>
          <w:bCs/>
        </w:rPr>
        <w:t>.</w:t>
      </w:r>
      <w:r w:rsidRPr="00AC7274">
        <w:rPr>
          <w:rFonts w:ascii="Aptos" w:hAnsi="Aptos"/>
        </w:rPr>
        <w:t xml:space="preserve"> ViPTree analysis:  ViPTree analysis (https://www.genome.jp/viptree/; [2]) is based upon Rohwer and Edwards (2002) Phage Proteomic Tree [3].   The taxons under discussion are indicated with red bars and stars.   Abbreviations: phg = phage; </w:t>
      </w:r>
      <w:r w:rsidR="00574D1A">
        <w:rPr>
          <w:rFonts w:ascii="Aptos" w:hAnsi="Aptos"/>
        </w:rPr>
        <w:t>Gord</w:t>
      </w:r>
      <w:r w:rsidRPr="00AC7274">
        <w:rPr>
          <w:rFonts w:ascii="Aptos" w:hAnsi="Aptos"/>
        </w:rPr>
        <w:t xml:space="preserve"> = </w:t>
      </w:r>
      <w:r w:rsidR="00574D1A">
        <w:rPr>
          <w:rFonts w:ascii="Aptos" w:hAnsi="Aptos"/>
          <w:i/>
          <w:iCs/>
        </w:rPr>
        <w:t>Gordonia</w:t>
      </w:r>
      <w:r w:rsidR="00574D1A">
        <w:rPr>
          <w:rFonts w:ascii="Aptos" w:hAnsi="Aptos"/>
        </w:rPr>
        <w:t xml:space="preserve">; Rhod = </w:t>
      </w:r>
      <w:r w:rsidR="00574D1A" w:rsidRPr="00574D1A">
        <w:rPr>
          <w:rFonts w:ascii="Aptos" w:hAnsi="Aptos"/>
          <w:i/>
          <w:iCs/>
        </w:rPr>
        <w:t>Rhodococcus</w:t>
      </w:r>
      <w:r w:rsidR="00574D1A">
        <w:rPr>
          <w:rFonts w:ascii="Aptos" w:hAnsi="Aptos"/>
        </w:rPr>
        <w:t>.</w:t>
      </w:r>
      <w:r w:rsidRPr="00AC7274">
        <w:rPr>
          <w:rFonts w:ascii="Aptos" w:hAnsi="Aptos"/>
          <w:b/>
          <w:bCs/>
        </w:rPr>
        <w:t xml:space="preserve">  </w:t>
      </w:r>
    </w:p>
    <w:p w14:paraId="1972B050" w14:textId="77777777" w:rsidR="007E0EC0" w:rsidRDefault="007E0EC0" w:rsidP="004B151F">
      <w:pPr>
        <w:rPr>
          <w:rFonts w:ascii="Aptos" w:hAnsi="Aptos"/>
          <w:b/>
          <w:bCs/>
        </w:rPr>
      </w:pPr>
    </w:p>
    <w:p w14:paraId="23A1C56E" w14:textId="215B690D" w:rsidR="007E0EC0" w:rsidRDefault="003F7AA8" w:rsidP="004B151F">
      <w:pPr>
        <w:rPr>
          <w:rFonts w:ascii="Aptos" w:hAnsi="Aptos"/>
          <w:b/>
          <w:bCs/>
        </w:rPr>
      </w:pPr>
      <w:r>
        <w:rPr>
          <w:rFonts w:ascii="Aptos" w:hAnsi="Aptos"/>
          <w:b/>
          <w:bCs/>
          <w:noProof/>
        </w:rPr>
        <w:lastRenderedPageBreak/>
        <mc:AlternateContent>
          <mc:Choice Requires="wps">
            <w:drawing>
              <wp:anchor distT="0" distB="0" distL="114300" distR="114300" simplePos="0" relativeHeight="251658241" behindDoc="0" locked="0" layoutInCell="1" allowOverlap="1" wp14:anchorId="4AD9CD4C" wp14:editId="47E75729">
                <wp:simplePos x="0" y="0"/>
                <wp:positionH relativeFrom="column">
                  <wp:posOffset>5403850</wp:posOffset>
                </wp:positionH>
                <wp:positionV relativeFrom="paragraph">
                  <wp:posOffset>1587500</wp:posOffset>
                </wp:positionV>
                <wp:extent cx="133350" cy="4914900"/>
                <wp:effectExtent l="0" t="0" r="19050" b="19050"/>
                <wp:wrapNone/>
                <wp:docPr id="1110797910" name="Rectangle 4"/>
                <wp:cNvGraphicFramePr/>
                <a:graphic xmlns:a="http://schemas.openxmlformats.org/drawingml/2006/main">
                  <a:graphicData uri="http://schemas.microsoft.com/office/word/2010/wordprocessingShape">
                    <wps:wsp>
                      <wps:cNvSpPr/>
                      <wps:spPr>
                        <a:xfrm>
                          <a:off x="0" y="0"/>
                          <a:ext cx="133350" cy="49149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1BC8315D">
              <v:rect id="Rectangle 4" style="position:absolute;margin-left:425.5pt;margin-top:125pt;width:10.5pt;height:3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3204]" strokecolor="#09101d [484]" strokeweight="1pt" w14:anchorId="13999F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"/>
            </w:pict>
          </mc:Fallback>
        </mc:AlternateContent>
      </w:r>
      <w:r w:rsidR="00574D1A">
        <w:rPr>
          <w:rFonts w:ascii="Aptos" w:hAnsi="Aptos"/>
          <w:b/>
          <w:bCs/>
          <w:noProof/>
        </w:rPr>
        <w:drawing>
          <wp:inline distT="0" distB="0" distL="0" distR="0" wp14:anchorId="212B2C7D" wp14:editId="032A8DBD">
            <wp:extent cx="5926455" cy="6805295"/>
            <wp:effectExtent l="0" t="0" r="0" b="0"/>
            <wp:docPr id="107458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89348" name="Picture 1074589348"/>
                    <pic:cNvPicPr/>
                  </pic:nvPicPr>
                  <pic:blipFill>
                    <a:blip r:embed="rId14">
                      <a:extLst>
                        <a:ext uri="{28A0092B-C50C-407E-A947-70E740481C1C}">
                          <a14:useLocalDpi xmlns:a14="http://schemas.microsoft.com/office/drawing/2010/main" val="0"/>
                        </a:ext>
                      </a:extLst>
                    </a:blip>
                    <a:stretch>
                      <a:fillRect/>
                    </a:stretch>
                  </pic:blipFill>
                  <pic:spPr>
                    <a:xfrm>
                      <a:off x="0" y="0"/>
                      <a:ext cx="5926455" cy="6805295"/>
                    </a:xfrm>
                    <a:prstGeom prst="rect">
                      <a:avLst/>
                    </a:prstGeom>
                  </pic:spPr>
                </pic:pic>
              </a:graphicData>
            </a:graphic>
          </wp:inline>
        </w:drawing>
      </w:r>
    </w:p>
    <w:p w14:paraId="2D57382A" w14:textId="77777777" w:rsidR="007E0EC0" w:rsidRDefault="007E0EC0" w:rsidP="004B151F">
      <w:pPr>
        <w:rPr>
          <w:rFonts w:ascii="Aptos" w:hAnsi="Aptos"/>
          <w:b/>
          <w:bCs/>
        </w:rPr>
      </w:pPr>
    </w:p>
    <w:p w14:paraId="7E179317" w14:textId="026289C2" w:rsidR="007E0EC0" w:rsidRDefault="007E0EC0" w:rsidP="007E0EC0">
      <w:pPr>
        <w:rPr>
          <w:rFonts w:ascii="Aptos" w:hAnsi="Aptos"/>
        </w:rPr>
      </w:pPr>
      <w:r>
        <w:rPr>
          <w:rFonts w:ascii="Aptos" w:hAnsi="Aptos"/>
          <w:b/>
          <w:bCs/>
        </w:rPr>
        <w:t xml:space="preserve">Figure </w:t>
      </w:r>
      <w:r w:rsidR="003F7AA8">
        <w:rPr>
          <w:rFonts w:ascii="Aptos" w:hAnsi="Aptos"/>
          <w:b/>
          <w:bCs/>
        </w:rPr>
        <w:t>5</w:t>
      </w:r>
      <w:r>
        <w:rPr>
          <w:rFonts w:ascii="Aptos" w:hAnsi="Aptos"/>
          <w:b/>
          <w:bCs/>
        </w:rPr>
        <w:t xml:space="preserve">.  </w:t>
      </w:r>
      <w:r>
        <w:rPr>
          <w:rFonts w:ascii="Aptos" w:hAnsi="Aptos"/>
        </w:rPr>
        <w:t xml:space="preserve">Phylogenetic tree constructed with the </w:t>
      </w:r>
      <w:r w:rsidR="00574D1A">
        <w:rPr>
          <w:rFonts w:ascii="Aptos" w:hAnsi="Aptos"/>
        </w:rPr>
        <w:t>large subunit terminase</w:t>
      </w:r>
      <w:r>
        <w:rPr>
          <w:rFonts w:ascii="Aptos" w:hAnsi="Aptos"/>
        </w:rPr>
        <w:t xml:space="preserve"> proteins from these and related phages using “One Click” Phylogeny.fr [9] at </w:t>
      </w:r>
      <w:hyperlink r:id="rId15" w:history="1">
        <w:r w:rsidRPr="00401054">
          <w:rPr>
            <w:rStyle w:val="Hyperlink"/>
          </w:rPr>
          <w:t>http://phylogeny.lirmm.fr/phylo_cgi/simple_phylogeny.cgi</w:t>
        </w:r>
      </w:hyperlink>
      <w:r>
        <w:t xml:space="preserve">.  </w:t>
      </w:r>
      <w:r w:rsidR="003F7AA8">
        <w:t>The blue bar indicates the members of this new family.</w:t>
      </w:r>
    </w:p>
    <w:p w14:paraId="0984D13D" w14:textId="77777777" w:rsidR="007E0EC0" w:rsidRDefault="007E0EC0" w:rsidP="004B151F">
      <w:pPr>
        <w:rPr>
          <w:rFonts w:ascii="Aptos" w:hAnsi="Aptos"/>
          <w:b/>
          <w:bCs/>
        </w:rPr>
      </w:pPr>
    </w:p>
    <w:p w14:paraId="4434AB64" w14:textId="77777777" w:rsidR="00863626" w:rsidRDefault="00863626" w:rsidP="00663642">
      <w:pPr>
        <w:rPr>
          <w:rFonts w:ascii="Aptos" w:hAnsi="Aptos"/>
        </w:rPr>
      </w:pPr>
    </w:p>
    <w:p w14:paraId="197950B6" w14:textId="5591E48A" w:rsidR="00863626" w:rsidRDefault="00863626" w:rsidP="00663642">
      <w:pPr>
        <w:rPr>
          <w:rFonts w:ascii="Aptos" w:hAnsi="Aptos"/>
        </w:rPr>
      </w:pPr>
      <w:r w:rsidRPr="00863626">
        <w:rPr>
          <w:rFonts w:ascii="Aptos" w:hAnsi="Aptos"/>
          <w:b/>
          <w:bCs/>
        </w:rPr>
        <w:t xml:space="preserve">Table 3. </w:t>
      </w:r>
      <w:r>
        <w:rPr>
          <w:rFonts w:ascii="Aptos" w:hAnsi="Aptos"/>
        </w:rPr>
        <w:t>New species in existing taxa</w:t>
      </w:r>
    </w:p>
    <w:p w14:paraId="73A5D5F8" w14:textId="77777777" w:rsidR="00863626" w:rsidRDefault="00863626" w:rsidP="00663642">
      <w:pPr>
        <w:rPr>
          <w:rFonts w:ascii="Aptos" w:hAnsi="Aptos"/>
        </w:rPr>
      </w:pPr>
    </w:p>
    <w:tbl>
      <w:tblPr>
        <w:tblW w:w="7260" w:type="dxa"/>
        <w:tblLook w:val="04A0" w:firstRow="1" w:lastRow="0" w:firstColumn="1" w:lastColumn="0" w:noHBand="0" w:noVBand="1"/>
      </w:tblPr>
      <w:tblGrid>
        <w:gridCol w:w="1740"/>
        <w:gridCol w:w="2860"/>
        <w:gridCol w:w="2660"/>
      </w:tblGrid>
      <w:tr w:rsidR="00863626" w14:paraId="3E8C550F" w14:textId="77777777" w:rsidTr="00863626">
        <w:trPr>
          <w:trHeight w:val="310"/>
        </w:trPr>
        <w:tc>
          <w:tcPr>
            <w:tcW w:w="1740" w:type="dxa"/>
            <w:tcBorders>
              <w:top w:val="single" w:sz="12" w:space="0" w:color="auto"/>
              <w:left w:val="single" w:sz="12" w:space="0" w:color="auto"/>
              <w:bottom w:val="single" w:sz="12" w:space="0" w:color="auto"/>
              <w:right w:val="single" w:sz="12" w:space="0" w:color="auto"/>
            </w:tcBorders>
            <w:noWrap/>
            <w:vAlign w:val="bottom"/>
            <w:hideMark/>
          </w:tcPr>
          <w:p w14:paraId="2F392903" w14:textId="77777777" w:rsidR="00863626" w:rsidRDefault="00863626">
            <w:pPr>
              <w:rPr>
                <w:rFonts w:ascii="Aptos Narrow" w:hAnsi="Aptos Narrow"/>
                <w:b/>
                <w:bCs/>
                <w:color w:val="000000"/>
                <w:sz w:val="22"/>
                <w:szCs w:val="22"/>
                <w:lang w:val="en-CA"/>
              </w:rPr>
            </w:pPr>
            <w:r>
              <w:rPr>
                <w:rFonts w:ascii="Aptos Narrow" w:hAnsi="Aptos Narrow"/>
                <w:b/>
                <w:bCs/>
                <w:color w:val="000000"/>
                <w:sz w:val="22"/>
                <w:szCs w:val="22"/>
              </w:rPr>
              <w:t>Accession No.</w:t>
            </w:r>
          </w:p>
        </w:tc>
        <w:tc>
          <w:tcPr>
            <w:tcW w:w="2860" w:type="dxa"/>
            <w:tcBorders>
              <w:top w:val="single" w:sz="12" w:space="0" w:color="auto"/>
              <w:left w:val="nil"/>
              <w:bottom w:val="single" w:sz="12" w:space="0" w:color="auto"/>
              <w:right w:val="single" w:sz="12" w:space="0" w:color="auto"/>
            </w:tcBorders>
            <w:noWrap/>
            <w:vAlign w:val="bottom"/>
            <w:hideMark/>
          </w:tcPr>
          <w:p w14:paraId="3EE71E86" w14:textId="77777777" w:rsidR="00863626" w:rsidRDefault="00863626">
            <w:pPr>
              <w:rPr>
                <w:rFonts w:ascii="Aptos Narrow" w:hAnsi="Aptos Narrow"/>
                <w:b/>
                <w:bCs/>
                <w:color w:val="000000"/>
                <w:sz w:val="22"/>
                <w:szCs w:val="22"/>
              </w:rPr>
            </w:pPr>
            <w:r>
              <w:rPr>
                <w:rFonts w:ascii="Aptos Narrow" w:hAnsi="Aptos Narrow"/>
                <w:b/>
                <w:bCs/>
                <w:color w:val="000000"/>
                <w:sz w:val="22"/>
                <w:szCs w:val="22"/>
              </w:rPr>
              <w:t>Exemplar</w:t>
            </w:r>
          </w:p>
        </w:tc>
        <w:tc>
          <w:tcPr>
            <w:tcW w:w="2660" w:type="dxa"/>
            <w:tcBorders>
              <w:top w:val="single" w:sz="12" w:space="0" w:color="auto"/>
              <w:left w:val="nil"/>
              <w:bottom w:val="single" w:sz="12" w:space="0" w:color="auto"/>
              <w:right w:val="single" w:sz="12" w:space="0" w:color="auto"/>
            </w:tcBorders>
            <w:noWrap/>
            <w:vAlign w:val="bottom"/>
            <w:hideMark/>
          </w:tcPr>
          <w:p w14:paraId="438ACAA1" w14:textId="77777777" w:rsidR="00863626" w:rsidRDefault="00863626">
            <w:pPr>
              <w:rPr>
                <w:rFonts w:ascii="Aptos Narrow" w:hAnsi="Aptos Narrow"/>
                <w:b/>
                <w:bCs/>
                <w:color w:val="000000"/>
                <w:sz w:val="22"/>
                <w:szCs w:val="22"/>
              </w:rPr>
            </w:pPr>
            <w:r>
              <w:rPr>
                <w:rFonts w:ascii="Aptos Narrow" w:hAnsi="Aptos Narrow"/>
                <w:b/>
                <w:bCs/>
                <w:color w:val="000000"/>
                <w:sz w:val="22"/>
                <w:szCs w:val="22"/>
              </w:rPr>
              <w:t>Taxon</w:t>
            </w:r>
          </w:p>
        </w:tc>
      </w:tr>
      <w:tr w:rsidR="00863626" w14:paraId="3B9FE07C"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28A800BC" w14:textId="77777777" w:rsidR="00863626" w:rsidRDefault="00863626">
            <w:pPr>
              <w:rPr>
                <w:rFonts w:ascii="Aptos Narrow" w:hAnsi="Aptos Narrow"/>
                <w:color w:val="000000"/>
                <w:sz w:val="22"/>
                <w:szCs w:val="22"/>
              </w:rPr>
            </w:pPr>
            <w:r>
              <w:rPr>
                <w:rFonts w:ascii="Aptos Narrow" w:hAnsi="Aptos Narrow"/>
                <w:color w:val="000000"/>
                <w:sz w:val="22"/>
                <w:szCs w:val="22"/>
              </w:rPr>
              <w:t>PX234435</w:t>
            </w:r>
          </w:p>
        </w:tc>
        <w:tc>
          <w:tcPr>
            <w:tcW w:w="2860" w:type="dxa"/>
            <w:tcBorders>
              <w:top w:val="nil"/>
              <w:left w:val="nil"/>
              <w:bottom w:val="single" w:sz="12" w:space="0" w:color="auto"/>
              <w:right w:val="single" w:sz="12" w:space="0" w:color="auto"/>
            </w:tcBorders>
            <w:noWrap/>
            <w:vAlign w:val="bottom"/>
            <w:hideMark/>
          </w:tcPr>
          <w:p w14:paraId="5030EF6F" w14:textId="77777777" w:rsidR="00863626" w:rsidRDefault="00863626">
            <w:pPr>
              <w:rPr>
                <w:rFonts w:ascii="Aptos Narrow" w:hAnsi="Aptos Narrow"/>
                <w:color w:val="000000"/>
                <w:sz w:val="22"/>
                <w:szCs w:val="22"/>
              </w:rPr>
            </w:pPr>
            <w:r>
              <w:rPr>
                <w:rFonts w:ascii="Aptos Narrow" w:hAnsi="Aptos Narrow"/>
                <w:color w:val="000000"/>
                <w:sz w:val="22"/>
                <w:szCs w:val="22"/>
              </w:rPr>
              <w:t>Gordonia phage Teech</w:t>
            </w:r>
          </w:p>
        </w:tc>
        <w:tc>
          <w:tcPr>
            <w:tcW w:w="2660" w:type="dxa"/>
            <w:tcBorders>
              <w:top w:val="nil"/>
              <w:left w:val="nil"/>
              <w:bottom w:val="single" w:sz="12" w:space="0" w:color="auto"/>
              <w:right w:val="single" w:sz="12" w:space="0" w:color="auto"/>
            </w:tcBorders>
            <w:noWrap/>
            <w:vAlign w:val="bottom"/>
            <w:hideMark/>
          </w:tcPr>
          <w:p w14:paraId="005E4594"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Demosthenesvirus teech</w:t>
            </w:r>
          </w:p>
        </w:tc>
      </w:tr>
      <w:tr w:rsidR="00863626" w14:paraId="71080DDE"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7F73C4D8" w14:textId="77777777" w:rsidR="00863626" w:rsidRDefault="00863626">
            <w:pPr>
              <w:rPr>
                <w:rFonts w:ascii="Aptos Narrow" w:hAnsi="Aptos Narrow"/>
                <w:color w:val="000000"/>
                <w:sz w:val="22"/>
                <w:szCs w:val="22"/>
              </w:rPr>
            </w:pPr>
            <w:r>
              <w:rPr>
                <w:rFonts w:ascii="Aptos Narrow" w:hAnsi="Aptos Narrow"/>
                <w:color w:val="000000"/>
                <w:sz w:val="22"/>
                <w:szCs w:val="22"/>
              </w:rPr>
              <w:t>OP434448</w:t>
            </w:r>
          </w:p>
        </w:tc>
        <w:tc>
          <w:tcPr>
            <w:tcW w:w="2860" w:type="dxa"/>
            <w:tcBorders>
              <w:top w:val="nil"/>
              <w:left w:val="nil"/>
              <w:bottom w:val="single" w:sz="12" w:space="0" w:color="auto"/>
              <w:right w:val="single" w:sz="12" w:space="0" w:color="auto"/>
            </w:tcBorders>
            <w:noWrap/>
            <w:vAlign w:val="bottom"/>
            <w:hideMark/>
          </w:tcPr>
          <w:p w14:paraId="17538BDB" w14:textId="77777777" w:rsidR="00863626" w:rsidRDefault="00863626">
            <w:pPr>
              <w:rPr>
                <w:rFonts w:ascii="Aptos Narrow" w:hAnsi="Aptos Narrow"/>
                <w:color w:val="000000"/>
                <w:sz w:val="22"/>
                <w:szCs w:val="22"/>
              </w:rPr>
            </w:pPr>
            <w:r>
              <w:rPr>
                <w:rFonts w:ascii="Aptos Narrow" w:hAnsi="Aptos Narrow"/>
                <w:color w:val="000000"/>
                <w:sz w:val="22"/>
                <w:szCs w:val="22"/>
              </w:rPr>
              <w:t>Gordonia phage Hollow</w:t>
            </w:r>
          </w:p>
        </w:tc>
        <w:tc>
          <w:tcPr>
            <w:tcW w:w="2660" w:type="dxa"/>
            <w:tcBorders>
              <w:top w:val="nil"/>
              <w:left w:val="nil"/>
              <w:bottom w:val="single" w:sz="12" w:space="0" w:color="auto"/>
              <w:right w:val="single" w:sz="12" w:space="0" w:color="auto"/>
            </w:tcBorders>
            <w:noWrap/>
            <w:vAlign w:val="bottom"/>
            <w:hideMark/>
          </w:tcPr>
          <w:p w14:paraId="7B290DEC"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Demosthenesvirus hollow</w:t>
            </w:r>
          </w:p>
        </w:tc>
      </w:tr>
      <w:tr w:rsidR="00863626" w14:paraId="5202D748"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5D08F6A8" w14:textId="77777777" w:rsidR="00863626" w:rsidRDefault="00863626">
            <w:pPr>
              <w:rPr>
                <w:rFonts w:ascii="Aptos Narrow" w:hAnsi="Aptos Narrow"/>
                <w:color w:val="000000"/>
                <w:sz w:val="22"/>
                <w:szCs w:val="22"/>
              </w:rPr>
            </w:pPr>
            <w:r>
              <w:rPr>
                <w:rFonts w:ascii="Aptos Narrow" w:hAnsi="Aptos Narrow"/>
                <w:color w:val="000000"/>
                <w:sz w:val="22"/>
                <w:szCs w:val="22"/>
              </w:rPr>
              <w:lastRenderedPageBreak/>
              <w:t> </w:t>
            </w:r>
          </w:p>
        </w:tc>
        <w:tc>
          <w:tcPr>
            <w:tcW w:w="2860" w:type="dxa"/>
            <w:tcBorders>
              <w:top w:val="nil"/>
              <w:left w:val="nil"/>
              <w:bottom w:val="single" w:sz="12" w:space="0" w:color="auto"/>
              <w:right w:val="single" w:sz="12" w:space="0" w:color="auto"/>
            </w:tcBorders>
            <w:noWrap/>
            <w:vAlign w:val="bottom"/>
            <w:hideMark/>
          </w:tcPr>
          <w:p w14:paraId="3BEB725C" w14:textId="77777777" w:rsidR="00863626" w:rsidRDefault="00863626">
            <w:pPr>
              <w:rPr>
                <w:rFonts w:ascii="Aptos Narrow" w:hAnsi="Aptos Narrow"/>
                <w:color w:val="000000"/>
                <w:sz w:val="22"/>
                <w:szCs w:val="22"/>
              </w:rPr>
            </w:pPr>
            <w:r>
              <w:rPr>
                <w:rFonts w:ascii="Aptos Narrow" w:hAnsi="Aptos Narrow"/>
                <w:color w:val="000000"/>
                <w:sz w:val="22"/>
                <w:szCs w:val="22"/>
              </w:rPr>
              <w:t> </w:t>
            </w:r>
          </w:p>
        </w:tc>
        <w:tc>
          <w:tcPr>
            <w:tcW w:w="2660" w:type="dxa"/>
            <w:tcBorders>
              <w:top w:val="nil"/>
              <w:left w:val="nil"/>
              <w:bottom w:val="single" w:sz="12" w:space="0" w:color="auto"/>
              <w:right w:val="single" w:sz="12" w:space="0" w:color="auto"/>
            </w:tcBorders>
            <w:noWrap/>
            <w:vAlign w:val="bottom"/>
            <w:hideMark/>
          </w:tcPr>
          <w:p w14:paraId="528EF967"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 </w:t>
            </w:r>
          </w:p>
        </w:tc>
      </w:tr>
      <w:tr w:rsidR="00863626" w14:paraId="6E372DD3"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5209D074" w14:textId="77777777" w:rsidR="00863626" w:rsidRDefault="00863626">
            <w:pPr>
              <w:rPr>
                <w:rFonts w:ascii="Aptos Narrow" w:hAnsi="Aptos Narrow"/>
                <w:color w:val="000000"/>
                <w:sz w:val="22"/>
                <w:szCs w:val="22"/>
              </w:rPr>
            </w:pPr>
            <w:r>
              <w:rPr>
                <w:rFonts w:ascii="Aptos Narrow" w:hAnsi="Aptos Narrow"/>
                <w:color w:val="000000"/>
                <w:sz w:val="22"/>
                <w:szCs w:val="22"/>
              </w:rPr>
              <w:t>PV165876</w:t>
            </w:r>
          </w:p>
        </w:tc>
        <w:tc>
          <w:tcPr>
            <w:tcW w:w="2860" w:type="dxa"/>
            <w:tcBorders>
              <w:top w:val="nil"/>
              <w:left w:val="nil"/>
              <w:bottom w:val="single" w:sz="12" w:space="0" w:color="auto"/>
              <w:right w:val="single" w:sz="12" w:space="0" w:color="auto"/>
            </w:tcBorders>
            <w:noWrap/>
            <w:vAlign w:val="bottom"/>
            <w:hideMark/>
          </w:tcPr>
          <w:p w14:paraId="5D8ED02D" w14:textId="77777777" w:rsidR="00863626" w:rsidRDefault="00863626">
            <w:pPr>
              <w:rPr>
                <w:rFonts w:ascii="Aptos Narrow" w:hAnsi="Aptos Narrow"/>
                <w:color w:val="000000"/>
                <w:sz w:val="22"/>
                <w:szCs w:val="22"/>
              </w:rPr>
            </w:pPr>
            <w:r>
              <w:rPr>
                <w:rFonts w:ascii="Aptos Narrow" w:hAnsi="Aptos Narrow"/>
                <w:color w:val="000000"/>
                <w:sz w:val="22"/>
                <w:szCs w:val="22"/>
              </w:rPr>
              <w:t>Gordonia phage BigShaq</w:t>
            </w:r>
          </w:p>
        </w:tc>
        <w:tc>
          <w:tcPr>
            <w:tcW w:w="2660" w:type="dxa"/>
            <w:tcBorders>
              <w:top w:val="nil"/>
              <w:left w:val="nil"/>
              <w:bottom w:val="single" w:sz="12" w:space="0" w:color="auto"/>
              <w:right w:val="single" w:sz="12" w:space="0" w:color="auto"/>
            </w:tcBorders>
            <w:noWrap/>
            <w:vAlign w:val="bottom"/>
            <w:hideMark/>
          </w:tcPr>
          <w:p w14:paraId="4AD5269D"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Montyvirus bigshaq</w:t>
            </w:r>
          </w:p>
        </w:tc>
      </w:tr>
      <w:tr w:rsidR="00863626" w14:paraId="3E71EC8F"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55E5DADB" w14:textId="77777777" w:rsidR="00863626" w:rsidRDefault="00863626">
            <w:pPr>
              <w:rPr>
                <w:rFonts w:ascii="Aptos Narrow" w:hAnsi="Aptos Narrow"/>
                <w:color w:val="000000"/>
                <w:sz w:val="22"/>
                <w:szCs w:val="22"/>
              </w:rPr>
            </w:pPr>
            <w:r>
              <w:rPr>
                <w:rFonts w:ascii="Aptos Narrow" w:hAnsi="Aptos Narrow"/>
                <w:color w:val="000000"/>
                <w:sz w:val="22"/>
                <w:szCs w:val="22"/>
              </w:rPr>
              <w:t>MT986029</w:t>
            </w:r>
          </w:p>
        </w:tc>
        <w:tc>
          <w:tcPr>
            <w:tcW w:w="2860" w:type="dxa"/>
            <w:tcBorders>
              <w:top w:val="nil"/>
              <w:left w:val="nil"/>
              <w:bottom w:val="single" w:sz="12" w:space="0" w:color="auto"/>
              <w:right w:val="single" w:sz="12" w:space="0" w:color="auto"/>
            </w:tcBorders>
            <w:noWrap/>
            <w:vAlign w:val="bottom"/>
            <w:hideMark/>
          </w:tcPr>
          <w:p w14:paraId="6E09F047" w14:textId="77777777" w:rsidR="00863626" w:rsidRDefault="00863626">
            <w:pPr>
              <w:rPr>
                <w:rFonts w:ascii="Aptos Narrow" w:hAnsi="Aptos Narrow"/>
                <w:color w:val="000000"/>
                <w:sz w:val="22"/>
                <w:szCs w:val="22"/>
              </w:rPr>
            </w:pPr>
            <w:r>
              <w:rPr>
                <w:rFonts w:ascii="Aptos Narrow" w:hAnsi="Aptos Narrow"/>
                <w:color w:val="000000"/>
                <w:sz w:val="22"/>
                <w:szCs w:val="22"/>
              </w:rPr>
              <w:t>Gordonia phage Linetti</w:t>
            </w:r>
          </w:p>
        </w:tc>
        <w:tc>
          <w:tcPr>
            <w:tcW w:w="2660" w:type="dxa"/>
            <w:tcBorders>
              <w:top w:val="nil"/>
              <w:left w:val="nil"/>
              <w:bottom w:val="single" w:sz="12" w:space="0" w:color="auto"/>
              <w:right w:val="single" w:sz="12" w:space="0" w:color="auto"/>
            </w:tcBorders>
            <w:noWrap/>
            <w:vAlign w:val="bottom"/>
            <w:hideMark/>
          </w:tcPr>
          <w:p w14:paraId="0E53C324"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Montyvirus linetti</w:t>
            </w:r>
          </w:p>
        </w:tc>
      </w:tr>
      <w:tr w:rsidR="00863626" w14:paraId="72595CDD"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338CF16F" w14:textId="77777777" w:rsidR="00863626" w:rsidRDefault="00863626">
            <w:pPr>
              <w:rPr>
                <w:rFonts w:ascii="Aptos Narrow" w:hAnsi="Aptos Narrow"/>
                <w:color w:val="000000"/>
                <w:sz w:val="22"/>
                <w:szCs w:val="22"/>
              </w:rPr>
            </w:pPr>
            <w:r>
              <w:rPr>
                <w:rFonts w:ascii="Aptos Narrow" w:hAnsi="Aptos Narrow"/>
                <w:color w:val="000000"/>
                <w:sz w:val="22"/>
                <w:szCs w:val="22"/>
              </w:rPr>
              <w:t>PQ184834</w:t>
            </w:r>
          </w:p>
        </w:tc>
        <w:tc>
          <w:tcPr>
            <w:tcW w:w="2860" w:type="dxa"/>
            <w:tcBorders>
              <w:top w:val="nil"/>
              <w:left w:val="nil"/>
              <w:bottom w:val="single" w:sz="12" w:space="0" w:color="auto"/>
              <w:right w:val="single" w:sz="12" w:space="0" w:color="auto"/>
            </w:tcBorders>
            <w:noWrap/>
            <w:vAlign w:val="bottom"/>
            <w:hideMark/>
          </w:tcPr>
          <w:p w14:paraId="4116EDBD" w14:textId="77777777" w:rsidR="00863626" w:rsidRDefault="00863626">
            <w:pPr>
              <w:rPr>
                <w:rFonts w:ascii="Aptos Narrow" w:hAnsi="Aptos Narrow"/>
                <w:color w:val="000000"/>
                <w:sz w:val="22"/>
                <w:szCs w:val="22"/>
              </w:rPr>
            </w:pPr>
            <w:r>
              <w:rPr>
                <w:rFonts w:ascii="Aptos Narrow" w:hAnsi="Aptos Narrow"/>
                <w:color w:val="000000"/>
                <w:sz w:val="22"/>
                <w:szCs w:val="22"/>
              </w:rPr>
              <w:t>Gordonia phage BenoitCattle</w:t>
            </w:r>
          </w:p>
        </w:tc>
        <w:tc>
          <w:tcPr>
            <w:tcW w:w="2660" w:type="dxa"/>
            <w:tcBorders>
              <w:top w:val="nil"/>
              <w:left w:val="nil"/>
              <w:bottom w:val="single" w:sz="12" w:space="0" w:color="auto"/>
              <w:right w:val="single" w:sz="12" w:space="0" w:color="auto"/>
            </w:tcBorders>
            <w:noWrap/>
            <w:vAlign w:val="bottom"/>
            <w:hideMark/>
          </w:tcPr>
          <w:p w14:paraId="27AB5144"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Montyvirus benoitcattle</w:t>
            </w:r>
          </w:p>
        </w:tc>
      </w:tr>
      <w:tr w:rsidR="00863626" w14:paraId="5E392898"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694C8F35" w14:textId="77777777" w:rsidR="00863626" w:rsidRDefault="00863626">
            <w:pPr>
              <w:rPr>
                <w:rFonts w:ascii="Aptos Narrow" w:hAnsi="Aptos Narrow"/>
                <w:color w:val="000000"/>
                <w:sz w:val="22"/>
                <w:szCs w:val="22"/>
              </w:rPr>
            </w:pPr>
            <w:r>
              <w:rPr>
                <w:rFonts w:ascii="Aptos Narrow" w:hAnsi="Aptos Narrow"/>
                <w:color w:val="000000"/>
                <w:sz w:val="22"/>
                <w:szCs w:val="22"/>
              </w:rPr>
              <w:t>ON456331</w:t>
            </w:r>
          </w:p>
        </w:tc>
        <w:tc>
          <w:tcPr>
            <w:tcW w:w="2860" w:type="dxa"/>
            <w:tcBorders>
              <w:top w:val="nil"/>
              <w:left w:val="nil"/>
              <w:bottom w:val="single" w:sz="12" w:space="0" w:color="auto"/>
              <w:right w:val="single" w:sz="12" w:space="0" w:color="auto"/>
            </w:tcBorders>
            <w:noWrap/>
            <w:vAlign w:val="bottom"/>
            <w:hideMark/>
          </w:tcPr>
          <w:p w14:paraId="391EC716" w14:textId="77777777" w:rsidR="00863626" w:rsidRDefault="00863626">
            <w:pPr>
              <w:rPr>
                <w:rFonts w:ascii="Aptos Narrow" w:hAnsi="Aptos Narrow"/>
                <w:color w:val="000000"/>
                <w:sz w:val="22"/>
                <w:szCs w:val="22"/>
              </w:rPr>
            </w:pPr>
            <w:r>
              <w:rPr>
                <w:rFonts w:ascii="Aptos Narrow" w:hAnsi="Aptos Narrow"/>
                <w:color w:val="000000"/>
                <w:sz w:val="22"/>
                <w:szCs w:val="22"/>
              </w:rPr>
              <w:t>Gordonia phage PokyPuppy</w:t>
            </w:r>
          </w:p>
        </w:tc>
        <w:tc>
          <w:tcPr>
            <w:tcW w:w="2660" w:type="dxa"/>
            <w:tcBorders>
              <w:top w:val="nil"/>
              <w:left w:val="nil"/>
              <w:bottom w:val="single" w:sz="12" w:space="0" w:color="auto"/>
              <w:right w:val="single" w:sz="12" w:space="0" w:color="auto"/>
            </w:tcBorders>
            <w:noWrap/>
            <w:vAlign w:val="bottom"/>
            <w:hideMark/>
          </w:tcPr>
          <w:p w14:paraId="6CC860DE"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Montyvirus pokypuppy</w:t>
            </w:r>
          </w:p>
        </w:tc>
      </w:tr>
      <w:tr w:rsidR="00863626" w14:paraId="51C57B54"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51D74A7A" w14:textId="77777777" w:rsidR="00863626" w:rsidRDefault="00863626">
            <w:pPr>
              <w:rPr>
                <w:rFonts w:ascii="Aptos Narrow" w:hAnsi="Aptos Narrow"/>
                <w:color w:val="000000"/>
                <w:sz w:val="22"/>
                <w:szCs w:val="22"/>
              </w:rPr>
            </w:pPr>
            <w:r>
              <w:rPr>
                <w:rFonts w:ascii="Aptos Narrow" w:hAnsi="Aptos Narrow"/>
                <w:color w:val="000000"/>
                <w:sz w:val="22"/>
                <w:szCs w:val="22"/>
              </w:rPr>
              <w:t>MW507133</w:t>
            </w:r>
          </w:p>
        </w:tc>
        <w:tc>
          <w:tcPr>
            <w:tcW w:w="2860" w:type="dxa"/>
            <w:tcBorders>
              <w:top w:val="nil"/>
              <w:left w:val="nil"/>
              <w:bottom w:val="single" w:sz="12" w:space="0" w:color="auto"/>
              <w:right w:val="single" w:sz="12" w:space="0" w:color="auto"/>
            </w:tcBorders>
            <w:noWrap/>
            <w:vAlign w:val="bottom"/>
            <w:hideMark/>
          </w:tcPr>
          <w:p w14:paraId="4B50FC71" w14:textId="77777777" w:rsidR="00863626" w:rsidRDefault="00863626">
            <w:pPr>
              <w:rPr>
                <w:rFonts w:ascii="Aptos Narrow" w:hAnsi="Aptos Narrow"/>
                <w:color w:val="000000"/>
                <w:sz w:val="22"/>
                <w:szCs w:val="22"/>
              </w:rPr>
            </w:pPr>
            <w:r>
              <w:rPr>
                <w:rFonts w:ascii="Aptos Narrow" w:hAnsi="Aptos Narrow"/>
                <w:color w:val="000000"/>
                <w:sz w:val="22"/>
                <w:szCs w:val="22"/>
              </w:rPr>
              <w:t>Gordonia phage RoyalG</w:t>
            </w:r>
          </w:p>
        </w:tc>
        <w:tc>
          <w:tcPr>
            <w:tcW w:w="2660" w:type="dxa"/>
            <w:tcBorders>
              <w:top w:val="nil"/>
              <w:left w:val="nil"/>
              <w:bottom w:val="single" w:sz="12" w:space="0" w:color="auto"/>
              <w:right w:val="single" w:sz="12" w:space="0" w:color="auto"/>
            </w:tcBorders>
            <w:noWrap/>
            <w:vAlign w:val="bottom"/>
            <w:hideMark/>
          </w:tcPr>
          <w:p w14:paraId="7CF157E2"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Montyvirus royalg</w:t>
            </w:r>
          </w:p>
        </w:tc>
      </w:tr>
      <w:tr w:rsidR="00863626" w14:paraId="30AA10D2"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201913AB" w14:textId="77777777" w:rsidR="00863626" w:rsidRDefault="00863626">
            <w:pPr>
              <w:rPr>
                <w:rFonts w:ascii="Aptos Narrow" w:hAnsi="Aptos Narrow"/>
                <w:color w:val="000000"/>
                <w:sz w:val="22"/>
                <w:szCs w:val="22"/>
              </w:rPr>
            </w:pPr>
            <w:r>
              <w:rPr>
                <w:rFonts w:ascii="Aptos Narrow" w:hAnsi="Aptos Narrow"/>
                <w:color w:val="000000"/>
                <w:sz w:val="22"/>
                <w:szCs w:val="22"/>
              </w:rPr>
              <w:t>MT889379</w:t>
            </w:r>
          </w:p>
        </w:tc>
        <w:tc>
          <w:tcPr>
            <w:tcW w:w="2860" w:type="dxa"/>
            <w:tcBorders>
              <w:top w:val="nil"/>
              <w:left w:val="nil"/>
              <w:bottom w:val="single" w:sz="12" w:space="0" w:color="auto"/>
              <w:right w:val="single" w:sz="12" w:space="0" w:color="auto"/>
            </w:tcBorders>
            <w:noWrap/>
            <w:vAlign w:val="bottom"/>
            <w:hideMark/>
          </w:tcPr>
          <w:p w14:paraId="7D144BE7" w14:textId="77777777" w:rsidR="00863626" w:rsidRDefault="00863626">
            <w:pPr>
              <w:rPr>
                <w:rFonts w:ascii="Aptos Narrow" w:hAnsi="Aptos Narrow"/>
                <w:color w:val="000000"/>
                <w:sz w:val="22"/>
                <w:szCs w:val="22"/>
              </w:rPr>
            </w:pPr>
            <w:r>
              <w:rPr>
                <w:rFonts w:ascii="Aptos Narrow" w:hAnsi="Aptos Narrow"/>
                <w:color w:val="000000"/>
                <w:sz w:val="22"/>
                <w:szCs w:val="22"/>
              </w:rPr>
              <w:t>Gordonia phage Diabla</w:t>
            </w:r>
          </w:p>
        </w:tc>
        <w:tc>
          <w:tcPr>
            <w:tcW w:w="2660" w:type="dxa"/>
            <w:tcBorders>
              <w:top w:val="nil"/>
              <w:left w:val="nil"/>
              <w:bottom w:val="single" w:sz="12" w:space="0" w:color="auto"/>
              <w:right w:val="single" w:sz="12" w:space="0" w:color="auto"/>
            </w:tcBorders>
            <w:noWrap/>
            <w:vAlign w:val="bottom"/>
            <w:hideMark/>
          </w:tcPr>
          <w:p w14:paraId="0EB0D362"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Montyvirus diabla</w:t>
            </w:r>
          </w:p>
        </w:tc>
      </w:tr>
      <w:tr w:rsidR="00863626" w14:paraId="46404C3C" w14:textId="77777777" w:rsidTr="00863626">
        <w:trPr>
          <w:trHeight w:val="310"/>
        </w:trPr>
        <w:tc>
          <w:tcPr>
            <w:tcW w:w="1740" w:type="dxa"/>
            <w:tcBorders>
              <w:top w:val="nil"/>
              <w:left w:val="single" w:sz="12" w:space="0" w:color="auto"/>
              <w:bottom w:val="single" w:sz="12" w:space="0" w:color="auto"/>
              <w:right w:val="single" w:sz="12" w:space="0" w:color="auto"/>
            </w:tcBorders>
            <w:noWrap/>
            <w:vAlign w:val="bottom"/>
            <w:hideMark/>
          </w:tcPr>
          <w:p w14:paraId="0754274D" w14:textId="77777777" w:rsidR="00863626" w:rsidRDefault="00863626">
            <w:pPr>
              <w:rPr>
                <w:rFonts w:ascii="Aptos Narrow" w:hAnsi="Aptos Narrow"/>
                <w:color w:val="000000"/>
                <w:sz w:val="22"/>
                <w:szCs w:val="22"/>
              </w:rPr>
            </w:pPr>
            <w:r>
              <w:rPr>
                <w:rFonts w:ascii="Aptos Narrow" w:hAnsi="Aptos Narrow"/>
                <w:color w:val="000000"/>
                <w:sz w:val="22"/>
                <w:szCs w:val="22"/>
              </w:rPr>
              <w:t>PV105561</w:t>
            </w:r>
          </w:p>
        </w:tc>
        <w:tc>
          <w:tcPr>
            <w:tcW w:w="2860" w:type="dxa"/>
            <w:tcBorders>
              <w:top w:val="nil"/>
              <w:left w:val="nil"/>
              <w:bottom w:val="single" w:sz="12" w:space="0" w:color="auto"/>
              <w:right w:val="single" w:sz="12" w:space="0" w:color="auto"/>
            </w:tcBorders>
            <w:noWrap/>
            <w:vAlign w:val="bottom"/>
            <w:hideMark/>
          </w:tcPr>
          <w:p w14:paraId="427474BD" w14:textId="77777777" w:rsidR="00863626" w:rsidRDefault="00863626">
            <w:pPr>
              <w:rPr>
                <w:rFonts w:ascii="Aptos Narrow" w:hAnsi="Aptos Narrow"/>
                <w:color w:val="000000"/>
                <w:sz w:val="22"/>
                <w:szCs w:val="22"/>
              </w:rPr>
            </w:pPr>
            <w:r>
              <w:rPr>
                <w:rFonts w:ascii="Aptos Narrow" w:hAnsi="Aptos Narrow"/>
                <w:color w:val="000000"/>
                <w:sz w:val="22"/>
                <w:szCs w:val="22"/>
              </w:rPr>
              <w:t>Gordonia phage Eggsie</w:t>
            </w:r>
          </w:p>
        </w:tc>
        <w:tc>
          <w:tcPr>
            <w:tcW w:w="2660" w:type="dxa"/>
            <w:tcBorders>
              <w:top w:val="nil"/>
              <w:left w:val="nil"/>
              <w:bottom w:val="single" w:sz="12" w:space="0" w:color="auto"/>
              <w:right w:val="single" w:sz="12" w:space="0" w:color="auto"/>
            </w:tcBorders>
            <w:noWrap/>
            <w:vAlign w:val="bottom"/>
            <w:hideMark/>
          </w:tcPr>
          <w:p w14:paraId="08AF403E" w14:textId="77777777" w:rsidR="00863626" w:rsidRDefault="00863626">
            <w:pPr>
              <w:rPr>
                <w:rFonts w:ascii="Aptos Narrow" w:hAnsi="Aptos Narrow"/>
                <w:i/>
                <w:iCs/>
                <w:color w:val="000000"/>
                <w:sz w:val="22"/>
                <w:szCs w:val="22"/>
              </w:rPr>
            </w:pPr>
            <w:r>
              <w:rPr>
                <w:rFonts w:ascii="Aptos Narrow" w:hAnsi="Aptos Narrow"/>
                <w:i/>
                <w:iCs/>
                <w:color w:val="000000"/>
                <w:sz w:val="22"/>
                <w:szCs w:val="22"/>
              </w:rPr>
              <w:t>Montyvirus eggsie</w:t>
            </w:r>
          </w:p>
        </w:tc>
      </w:tr>
    </w:tbl>
    <w:p w14:paraId="11BB5A1F" w14:textId="77777777" w:rsidR="00863626" w:rsidRPr="00863626" w:rsidRDefault="00863626" w:rsidP="00663642">
      <w:pPr>
        <w:rPr>
          <w:rFonts w:ascii="Aptos" w:hAnsi="Aptos"/>
        </w:rPr>
      </w:pPr>
    </w:p>
    <w:p w14:paraId="491F9465" w14:textId="77777777" w:rsidR="00A566A8" w:rsidRDefault="00A566A8" w:rsidP="00A566A8">
      <w:pPr>
        <w:rPr>
          <w:rFonts w:ascii="Aptos" w:hAnsi="Aptos"/>
        </w:rPr>
      </w:pPr>
      <w:r>
        <w:rPr>
          <w:rFonts w:ascii="Aptos" w:hAnsi="Aptos"/>
          <w:b/>
          <w:bCs/>
        </w:rPr>
        <w:t xml:space="preserve">To create a new genus within this family – </w:t>
      </w:r>
      <w:r w:rsidRPr="00663642">
        <w:rPr>
          <w:rFonts w:ascii="Aptos" w:hAnsi="Aptos"/>
          <w:b/>
          <w:bCs/>
          <w:i/>
          <w:iCs/>
        </w:rPr>
        <w:t>P</w:t>
      </w:r>
      <w:r>
        <w:rPr>
          <w:rFonts w:ascii="Aptos" w:hAnsi="Aptos"/>
          <w:b/>
          <w:bCs/>
          <w:i/>
          <w:iCs/>
        </w:rPr>
        <w:t>hilon</w:t>
      </w:r>
      <w:r w:rsidRPr="00663642">
        <w:rPr>
          <w:rFonts w:ascii="Aptos" w:hAnsi="Aptos"/>
          <w:b/>
          <w:bCs/>
          <w:i/>
          <w:iCs/>
        </w:rPr>
        <w:t>virus</w:t>
      </w:r>
    </w:p>
    <w:p w14:paraId="5B8CC939" w14:textId="77777777" w:rsidR="00A566A8" w:rsidRDefault="00A566A8" w:rsidP="00A566A8">
      <w:pPr>
        <w:rPr>
          <w:rFonts w:ascii="Aptos" w:hAnsi="Aptos"/>
        </w:rPr>
      </w:pPr>
    </w:p>
    <w:p w14:paraId="43106414" w14:textId="79D9AB49" w:rsidR="00A566A8" w:rsidRPr="00AC7274" w:rsidRDefault="00A566A8" w:rsidP="00A566A8">
      <w:pPr>
        <w:rPr>
          <w:rFonts w:ascii="Aptos" w:hAnsi="Aptos"/>
          <w:i/>
          <w:iCs/>
        </w:rPr>
      </w:pPr>
      <w:r w:rsidRPr="00AC7274">
        <w:rPr>
          <w:rFonts w:ascii="Aptos" w:hAnsi="Aptos"/>
          <w:b/>
          <w:bCs/>
        </w:rPr>
        <w:t xml:space="preserve">Table </w:t>
      </w:r>
      <w:r w:rsidR="00860B9C">
        <w:rPr>
          <w:rFonts w:ascii="Aptos" w:hAnsi="Aptos"/>
          <w:b/>
          <w:bCs/>
        </w:rPr>
        <w:t>4</w:t>
      </w:r>
      <w:r w:rsidRPr="00AC7274">
        <w:rPr>
          <w:rFonts w:ascii="Aptos" w:hAnsi="Aptos"/>
          <w:b/>
          <w:bCs/>
        </w:rPr>
        <w:t>.</w:t>
      </w:r>
      <w:r w:rsidRPr="00AC7274">
        <w:rPr>
          <w:rFonts w:ascii="Aptos" w:hAnsi="Aptos"/>
        </w:rPr>
        <w:t xml:space="preserve">  Characteristics of the phages described in the proposal which belong to </w:t>
      </w:r>
      <w:r w:rsidRPr="00FA1678">
        <w:rPr>
          <w:rFonts w:ascii="Aptos" w:hAnsi="Aptos"/>
        </w:rPr>
        <w:t>"</w:t>
      </w:r>
      <w:r>
        <w:rPr>
          <w:rFonts w:ascii="Aptos" w:hAnsi="Aptos"/>
          <w:i/>
          <w:iCs/>
        </w:rPr>
        <w:t>Philon</w:t>
      </w:r>
      <w:r w:rsidRPr="00FA1678">
        <w:rPr>
          <w:rFonts w:ascii="Aptos" w:hAnsi="Aptos"/>
          <w:i/>
          <w:iCs/>
        </w:rPr>
        <w:t>virus</w:t>
      </w:r>
      <w:r w:rsidRPr="00FA1678">
        <w:rPr>
          <w:rFonts w:ascii="Aptos" w:hAnsi="Aptos"/>
        </w:rPr>
        <w:t>"</w:t>
      </w:r>
      <w:r>
        <w:rPr>
          <w:rFonts w:ascii="Aptos" w:hAnsi="Aptos"/>
        </w:rPr>
        <w:t xml:space="preserve">   While the Actinobacteriophage Database classifies these phages with what we consider to be members of the genus </w:t>
      </w:r>
      <w:r w:rsidRPr="001B64BE">
        <w:rPr>
          <w:rFonts w:ascii="Aptos" w:hAnsi="Aptos"/>
          <w:i/>
          <w:iCs/>
        </w:rPr>
        <w:t>Demosthenesvirus</w:t>
      </w:r>
      <w:r>
        <w:rPr>
          <w:rFonts w:ascii="Aptos" w:hAnsi="Aptos"/>
        </w:rPr>
        <w:t xml:space="preserve"> they differ considerably from other members of Subcluster CS4 in their overall DNA sequence similarity.</w:t>
      </w:r>
    </w:p>
    <w:p w14:paraId="66DC1AF8" w14:textId="77777777" w:rsidR="00A566A8" w:rsidRPr="00AC7274" w:rsidRDefault="00A566A8" w:rsidP="00A566A8">
      <w:pPr>
        <w:rPr>
          <w:rFonts w:ascii="Aptos" w:hAnsi="Aptos"/>
        </w:rPr>
      </w:pPr>
    </w:p>
    <w:tbl>
      <w:tblPr>
        <w:tblStyle w:val="TableGrid"/>
        <w:tblW w:w="0" w:type="auto"/>
        <w:tblLook w:val="04A0" w:firstRow="1" w:lastRow="0" w:firstColumn="1" w:lastColumn="0" w:noHBand="0" w:noVBand="1"/>
      </w:tblPr>
      <w:tblGrid>
        <w:gridCol w:w="924"/>
        <w:gridCol w:w="1260"/>
        <w:gridCol w:w="1181"/>
        <w:gridCol w:w="899"/>
        <w:gridCol w:w="1047"/>
        <w:gridCol w:w="897"/>
        <w:gridCol w:w="708"/>
        <w:gridCol w:w="897"/>
        <w:gridCol w:w="884"/>
        <w:gridCol w:w="626"/>
      </w:tblGrid>
      <w:tr w:rsidR="00A566A8" w:rsidRPr="00AA7352" w14:paraId="47274A79" w14:textId="77777777" w:rsidTr="00F31A2C">
        <w:tc>
          <w:tcPr>
            <w:tcW w:w="1867" w:type="dxa"/>
            <w:tcBorders>
              <w:top w:val="single" w:sz="4" w:space="0" w:color="auto"/>
              <w:left w:val="single" w:sz="4" w:space="0" w:color="auto"/>
              <w:bottom w:val="single" w:sz="4" w:space="0" w:color="auto"/>
              <w:right w:val="single" w:sz="4" w:space="0" w:color="auto"/>
            </w:tcBorders>
            <w:hideMark/>
          </w:tcPr>
          <w:p w14:paraId="250395C7" w14:textId="77777777" w:rsidR="00A566A8" w:rsidRPr="00AA7352" w:rsidRDefault="00A566A8" w:rsidP="00F31A2C">
            <w:pPr>
              <w:rPr>
                <w:rFonts w:ascii="Aptos" w:hAnsi="Aptos"/>
                <w:b/>
                <w:bCs/>
                <w:sz w:val="20"/>
                <w:szCs w:val="20"/>
              </w:rPr>
            </w:pPr>
            <w:r w:rsidRPr="00AA7352">
              <w:rPr>
                <w:rFonts w:ascii="Aptos" w:hAnsi="Aptos"/>
                <w:b/>
                <w:bCs/>
                <w:sz w:val="20"/>
                <w:szCs w:val="20"/>
              </w:rPr>
              <w:t>Phage name</w:t>
            </w:r>
          </w:p>
        </w:tc>
        <w:tc>
          <w:tcPr>
            <w:tcW w:w="1867" w:type="dxa"/>
            <w:tcBorders>
              <w:top w:val="single" w:sz="4" w:space="0" w:color="auto"/>
              <w:left w:val="single" w:sz="4" w:space="0" w:color="auto"/>
              <w:bottom w:val="single" w:sz="4" w:space="0" w:color="auto"/>
              <w:right w:val="single" w:sz="4" w:space="0" w:color="auto"/>
            </w:tcBorders>
            <w:hideMark/>
          </w:tcPr>
          <w:p w14:paraId="1595CC89" w14:textId="77777777" w:rsidR="00A566A8" w:rsidRPr="00AA7352" w:rsidRDefault="00A566A8" w:rsidP="00F31A2C">
            <w:pPr>
              <w:rPr>
                <w:rFonts w:ascii="Aptos" w:hAnsi="Aptos"/>
                <w:b/>
                <w:bCs/>
                <w:sz w:val="20"/>
                <w:szCs w:val="20"/>
              </w:rPr>
            </w:pPr>
            <w:r w:rsidRPr="00AA7352">
              <w:rPr>
                <w:rFonts w:ascii="Aptos" w:hAnsi="Aptos"/>
                <w:b/>
                <w:bCs/>
                <w:sz w:val="20"/>
                <w:szCs w:val="20"/>
              </w:rPr>
              <w:t>Host</w:t>
            </w:r>
          </w:p>
        </w:tc>
        <w:tc>
          <w:tcPr>
            <w:tcW w:w="1535" w:type="dxa"/>
            <w:tcBorders>
              <w:top w:val="single" w:sz="4" w:space="0" w:color="auto"/>
              <w:left w:val="single" w:sz="4" w:space="0" w:color="auto"/>
              <w:bottom w:val="single" w:sz="4" w:space="0" w:color="auto"/>
              <w:right w:val="single" w:sz="4" w:space="0" w:color="auto"/>
            </w:tcBorders>
            <w:hideMark/>
          </w:tcPr>
          <w:p w14:paraId="2ED4640F" w14:textId="77777777" w:rsidR="00A566A8" w:rsidRPr="00AA7352" w:rsidRDefault="00A566A8" w:rsidP="00F31A2C">
            <w:pPr>
              <w:rPr>
                <w:rFonts w:ascii="Aptos" w:hAnsi="Aptos"/>
                <w:b/>
                <w:bCs/>
                <w:sz w:val="20"/>
                <w:szCs w:val="20"/>
              </w:rPr>
            </w:pPr>
            <w:r w:rsidRPr="00AA7352">
              <w:rPr>
                <w:rFonts w:ascii="Aptos" w:hAnsi="Aptos"/>
                <w:b/>
                <w:bCs/>
                <w:sz w:val="20"/>
                <w:szCs w:val="20"/>
              </w:rPr>
              <w:t>Morphotype</w:t>
            </w:r>
          </w:p>
        </w:tc>
        <w:tc>
          <w:tcPr>
            <w:tcW w:w="1150" w:type="dxa"/>
            <w:tcBorders>
              <w:top w:val="single" w:sz="4" w:space="0" w:color="auto"/>
              <w:left w:val="single" w:sz="4" w:space="0" w:color="auto"/>
              <w:bottom w:val="single" w:sz="4" w:space="0" w:color="auto"/>
              <w:right w:val="single" w:sz="4" w:space="0" w:color="auto"/>
            </w:tcBorders>
            <w:hideMark/>
          </w:tcPr>
          <w:p w14:paraId="250F6772" w14:textId="77777777" w:rsidR="00A566A8" w:rsidRPr="00AA7352" w:rsidRDefault="00A566A8" w:rsidP="00F31A2C">
            <w:pPr>
              <w:rPr>
                <w:rFonts w:ascii="Aptos" w:hAnsi="Aptos"/>
                <w:b/>
                <w:bCs/>
                <w:sz w:val="20"/>
                <w:szCs w:val="20"/>
              </w:rPr>
            </w:pPr>
            <w:r w:rsidRPr="00AA7352">
              <w:rPr>
                <w:rFonts w:ascii="Aptos" w:hAnsi="Aptos"/>
                <w:b/>
                <w:bCs/>
                <w:sz w:val="20"/>
                <w:szCs w:val="20"/>
              </w:rPr>
              <w:t>Lifestyle</w:t>
            </w:r>
          </w:p>
        </w:tc>
        <w:tc>
          <w:tcPr>
            <w:tcW w:w="1350" w:type="dxa"/>
            <w:tcBorders>
              <w:top w:val="single" w:sz="4" w:space="0" w:color="auto"/>
              <w:left w:val="single" w:sz="4" w:space="0" w:color="auto"/>
              <w:bottom w:val="single" w:sz="4" w:space="0" w:color="auto"/>
              <w:right w:val="single" w:sz="4" w:space="0" w:color="auto"/>
            </w:tcBorders>
            <w:hideMark/>
          </w:tcPr>
          <w:p w14:paraId="5B004BA4" w14:textId="77777777" w:rsidR="00A566A8" w:rsidRPr="00AA7352" w:rsidRDefault="00A566A8" w:rsidP="00F31A2C">
            <w:pPr>
              <w:rPr>
                <w:rFonts w:ascii="Aptos" w:hAnsi="Aptos"/>
                <w:b/>
                <w:bCs/>
                <w:sz w:val="20"/>
                <w:szCs w:val="20"/>
              </w:rPr>
            </w:pPr>
            <w:r w:rsidRPr="00AA7352">
              <w:rPr>
                <w:rFonts w:ascii="Aptos" w:hAnsi="Aptos"/>
                <w:b/>
                <w:bCs/>
                <w:sz w:val="20"/>
                <w:szCs w:val="20"/>
              </w:rPr>
              <w:t>Accession No.</w:t>
            </w:r>
          </w:p>
        </w:tc>
        <w:tc>
          <w:tcPr>
            <w:tcW w:w="1145" w:type="dxa"/>
            <w:tcBorders>
              <w:top w:val="single" w:sz="4" w:space="0" w:color="auto"/>
              <w:left w:val="single" w:sz="4" w:space="0" w:color="auto"/>
              <w:bottom w:val="single" w:sz="4" w:space="0" w:color="auto"/>
              <w:right w:val="single" w:sz="4" w:space="0" w:color="auto"/>
            </w:tcBorders>
            <w:hideMark/>
          </w:tcPr>
          <w:p w14:paraId="3562BA81" w14:textId="77777777" w:rsidR="00A566A8" w:rsidRPr="00AA7352" w:rsidRDefault="00A566A8" w:rsidP="00F31A2C">
            <w:pPr>
              <w:rPr>
                <w:rFonts w:ascii="Aptos" w:hAnsi="Aptos"/>
                <w:b/>
                <w:bCs/>
                <w:sz w:val="20"/>
                <w:szCs w:val="20"/>
              </w:rPr>
            </w:pPr>
            <w:r w:rsidRPr="00AA7352">
              <w:rPr>
                <w:rFonts w:ascii="Aptos" w:hAnsi="Aptos"/>
                <w:b/>
                <w:bCs/>
                <w:sz w:val="20"/>
                <w:szCs w:val="20"/>
              </w:rPr>
              <w:t>Genome size</w:t>
            </w:r>
          </w:p>
        </w:tc>
        <w:tc>
          <w:tcPr>
            <w:tcW w:w="715" w:type="dxa"/>
            <w:tcBorders>
              <w:top w:val="single" w:sz="4" w:space="0" w:color="auto"/>
              <w:left w:val="single" w:sz="4" w:space="0" w:color="auto"/>
              <w:bottom w:val="single" w:sz="4" w:space="0" w:color="auto"/>
              <w:right w:val="single" w:sz="4" w:space="0" w:color="auto"/>
            </w:tcBorders>
            <w:hideMark/>
          </w:tcPr>
          <w:p w14:paraId="2799BE3B" w14:textId="77777777" w:rsidR="00A566A8" w:rsidRPr="00AA7352" w:rsidRDefault="00A566A8" w:rsidP="00F31A2C">
            <w:pPr>
              <w:rPr>
                <w:rFonts w:ascii="Aptos" w:hAnsi="Aptos"/>
                <w:b/>
                <w:bCs/>
                <w:sz w:val="20"/>
                <w:szCs w:val="20"/>
              </w:rPr>
            </w:pPr>
            <w:r w:rsidRPr="00AA7352">
              <w:rPr>
                <w:rFonts w:ascii="Aptos" w:hAnsi="Aptos"/>
                <w:b/>
                <w:bCs/>
                <w:sz w:val="20"/>
                <w:szCs w:val="20"/>
              </w:rPr>
              <w:t>%G+C</w:t>
            </w:r>
          </w:p>
        </w:tc>
        <w:tc>
          <w:tcPr>
            <w:tcW w:w="1145" w:type="dxa"/>
            <w:tcBorders>
              <w:top w:val="single" w:sz="4" w:space="0" w:color="auto"/>
              <w:left w:val="single" w:sz="4" w:space="0" w:color="auto"/>
              <w:bottom w:val="single" w:sz="4" w:space="0" w:color="auto"/>
              <w:right w:val="single" w:sz="4" w:space="0" w:color="auto"/>
            </w:tcBorders>
            <w:hideMark/>
          </w:tcPr>
          <w:p w14:paraId="5023AF54" w14:textId="77777777" w:rsidR="00A566A8" w:rsidRPr="00AA7352" w:rsidRDefault="00A566A8" w:rsidP="00F31A2C">
            <w:pPr>
              <w:rPr>
                <w:rFonts w:ascii="Aptos" w:hAnsi="Aptos"/>
                <w:b/>
                <w:bCs/>
                <w:sz w:val="20"/>
                <w:szCs w:val="20"/>
              </w:rPr>
            </w:pPr>
            <w:r w:rsidRPr="00AA7352">
              <w:rPr>
                <w:rFonts w:ascii="Aptos" w:hAnsi="Aptos"/>
                <w:b/>
                <w:bCs/>
                <w:sz w:val="20"/>
                <w:szCs w:val="20"/>
              </w:rPr>
              <w:t>Genome Termini</w:t>
            </w:r>
          </w:p>
        </w:tc>
        <w:tc>
          <w:tcPr>
            <w:tcW w:w="1129" w:type="dxa"/>
            <w:tcBorders>
              <w:top w:val="single" w:sz="4" w:space="0" w:color="auto"/>
              <w:left w:val="single" w:sz="4" w:space="0" w:color="auto"/>
              <w:bottom w:val="single" w:sz="4" w:space="0" w:color="auto"/>
              <w:right w:val="single" w:sz="4" w:space="0" w:color="auto"/>
            </w:tcBorders>
            <w:hideMark/>
          </w:tcPr>
          <w:p w14:paraId="040A17D0" w14:textId="77777777" w:rsidR="00A566A8" w:rsidRPr="00AA7352" w:rsidRDefault="00A566A8" w:rsidP="00F31A2C">
            <w:pPr>
              <w:rPr>
                <w:rFonts w:ascii="Aptos" w:hAnsi="Aptos"/>
                <w:b/>
                <w:bCs/>
                <w:sz w:val="20"/>
                <w:szCs w:val="20"/>
              </w:rPr>
            </w:pPr>
            <w:r w:rsidRPr="00AA7352">
              <w:rPr>
                <w:rFonts w:ascii="Aptos" w:hAnsi="Aptos"/>
                <w:b/>
                <w:bCs/>
                <w:sz w:val="20"/>
                <w:szCs w:val="20"/>
              </w:rPr>
              <w:t>No. proteins</w:t>
            </w:r>
          </w:p>
        </w:tc>
        <w:tc>
          <w:tcPr>
            <w:tcW w:w="776" w:type="dxa"/>
            <w:tcBorders>
              <w:top w:val="single" w:sz="4" w:space="0" w:color="auto"/>
              <w:left w:val="single" w:sz="4" w:space="0" w:color="auto"/>
              <w:bottom w:val="single" w:sz="4" w:space="0" w:color="auto"/>
              <w:right w:val="single" w:sz="4" w:space="0" w:color="auto"/>
            </w:tcBorders>
            <w:hideMark/>
          </w:tcPr>
          <w:p w14:paraId="1240486D" w14:textId="77777777" w:rsidR="00A566A8" w:rsidRPr="00AA7352" w:rsidRDefault="00A566A8" w:rsidP="00F31A2C">
            <w:pPr>
              <w:rPr>
                <w:rFonts w:ascii="Aptos" w:hAnsi="Aptos"/>
                <w:b/>
                <w:bCs/>
                <w:sz w:val="20"/>
                <w:szCs w:val="20"/>
              </w:rPr>
            </w:pPr>
            <w:r w:rsidRPr="00AA7352">
              <w:rPr>
                <w:rFonts w:ascii="Aptos" w:hAnsi="Aptos"/>
                <w:b/>
                <w:bCs/>
                <w:sz w:val="20"/>
                <w:szCs w:val="20"/>
              </w:rPr>
              <w:t>No. tRNA</w:t>
            </w:r>
          </w:p>
        </w:tc>
      </w:tr>
      <w:tr w:rsidR="00A566A8" w:rsidRPr="00AA7352" w14:paraId="685592A6" w14:textId="77777777" w:rsidTr="00F31A2C">
        <w:tc>
          <w:tcPr>
            <w:tcW w:w="1867" w:type="dxa"/>
            <w:tcBorders>
              <w:top w:val="single" w:sz="4" w:space="0" w:color="auto"/>
              <w:left w:val="single" w:sz="4" w:space="0" w:color="auto"/>
              <w:bottom w:val="single" w:sz="4" w:space="0" w:color="auto"/>
              <w:right w:val="single" w:sz="4" w:space="0" w:color="auto"/>
            </w:tcBorders>
          </w:tcPr>
          <w:p w14:paraId="4960EBBC" w14:textId="77777777" w:rsidR="00A566A8" w:rsidRPr="00AA7352" w:rsidRDefault="00A566A8" w:rsidP="00F31A2C">
            <w:pPr>
              <w:rPr>
                <w:rFonts w:ascii="Aptos" w:hAnsi="Aptos"/>
                <w:sz w:val="20"/>
                <w:szCs w:val="20"/>
              </w:rPr>
            </w:pPr>
            <w:r w:rsidRPr="001B64BE">
              <w:rPr>
                <w:rFonts w:ascii="Aptos" w:hAnsi="Aptos"/>
                <w:sz w:val="20"/>
                <w:szCs w:val="20"/>
              </w:rPr>
              <w:t>Gordonia phage Philon9</w:t>
            </w:r>
          </w:p>
        </w:tc>
        <w:tc>
          <w:tcPr>
            <w:tcW w:w="1867" w:type="dxa"/>
            <w:tcBorders>
              <w:top w:val="single" w:sz="4" w:space="0" w:color="auto"/>
              <w:left w:val="single" w:sz="4" w:space="0" w:color="auto"/>
              <w:bottom w:val="single" w:sz="4" w:space="0" w:color="auto"/>
              <w:right w:val="single" w:sz="4" w:space="0" w:color="auto"/>
            </w:tcBorders>
          </w:tcPr>
          <w:p w14:paraId="264054BA" w14:textId="77777777" w:rsidR="00A566A8" w:rsidRPr="00AA7352" w:rsidRDefault="00A566A8" w:rsidP="00F31A2C">
            <w:pPr>
              <w:rPr>
                <w:rFonts w:ascii="Aptos" w:hAnsi="Aptos"/>
                <w:sz w:val="20"/>
                <w:szCs w:val="20"/>
              </w:rPr>
            </w:pPr>
            <w:r w:rsidRPr="001B64BE">
              <w:rPr>
                <w:rFonts w:ascii="Aptos" w:hAnsi="Aptos"/>
                <w:sz w:val="20"/>
                <w:szCs w:val="20"/>
              </w:rPr>
              <w:t>Gordonia rubripertincta NRRL B-16540</w:t>
            </w:r>
          </w:p>
        </w:tc>
        <w:tc>
          <w:tcPr>
            <w:tcW w:w="1535" w:type="dxa"/>
            <w:tcBorders>
              <w:top w:val="single" w:sz="4" w:space="0" w:color="auto"/>
              <w:left w:val="single" w:sz="4" w:space="0" w:color="auto"/>
              <w:bottom w:val="single" w:sz="4" w:space="0" w:color="auto"/>
              <w:right w:val="single" w:sz="4" w:space="0" w:color="auto"/>
            </w:tcBorders>
          </w:tcPr>
          <w:p w14:paraId="0CFF3DB6" w14:textId="77777777" w:rsidR="00A566A8" w:rsidRPr="00AA7352" w:rsidRDefault="00A566A8" w:rsidP="00F31A2C">
            <w:pPr>
              <w:rPr>
                <w:rFonts w:ascii="Aptos" w:hAnsi="Aptos"/>
                <w:sz w:val="20"/>
                <w:szCs w:val="20"/>
              </w:rPr>
            </w:pPr>
            <w:r>
              <w:rPr>
                <w:rFonts w:ascii="Aptos" w:hAnsi="Aptos"/>
                <w:sz w:val="20"/>
                <w:szCs w:val="20"/>
              </w:rPr>
              <w:t>Sipho</w:t>
            </w:r>
            <w:r w:rsidRPr="00AA7352">
              <w:rPr>
                <w:rFonts w:ascii="Aptos" w:hAnsi="Aptos"/>
                <w:sz w:val="20"/>
                <w:szCs w:val="20"/>
              </w:rPr>
              <w:t>virus</w:t>
            </w:r>
          </w:p>
        </w:tc>
        <w:tc>
          <w:tcPr>
            <w:tcW w:w="1150" w:type="dxa"/>
            <w:tcBorders>
              <w:top w:val="single" w:sz="4" w:space="0" w:color="auto"/>
              <w:left w:val="single" w:sz="4" w:space="0" w:color="auto"/>
              <w:bottom w:val="single" w:sz="4" w:space="0" w:color="auto"/>
              <w:right w:val="single" w:sz="4" w:space="0" w:color="auto"/>
            </w:tcBorders>
            <w:hideMark/>
          </w:tcPr>
          <w:p w14:paraId="36EF364D" w14:textId="77777777" w:rsidR="00A566A8" w:rsidRPr="00AA7352" w:rsidRDefault="00A566A8" w:rsidP="00F31A2C">
            <w:pPr>
              <w:rPr>
                <w:rFonts w:ascii="Aptos" w:hAnsi="Aptos"/>
                <w:sz w:val="20"/>
                <w:szCs w:val="20"/>
              </w:rPr>
            </w:pPr>
            <w:r>
              <w:rPr>
                <w:rFonts w:ascii="Aptos" w:hAnsi="Aptos"/>
                <w:sz w:val="20"/>
                <w:szCs w:val="20"/>
              </w:rPr>
              <w:t>Lytic</w:t>
            </w:r>
          </w:p>
        </w:tc>
        <w:tc>
          <w:tcPr>
            <w:tcW w:w="1350" w:type="dxa"/>
            <w:tcBorders>
              <w:top w:val="single" w:sz="4" w:space="0" w:color="auto"/>
              <w:left w:val="single" w:sz="4" w:space="0" w:color="auto"/>
              <w:bottom w:val="single" w:sz="4" w:space="0" w:color="auto"/>
              <w:right w:val="single" w:sz="4" w:space="0" w:color="auto"/>
            </w:tcBorders>
          </w:tcPr>
          <w:p w14:paraId="1202F0E2" w14:textId="77777777" w:rsidR="00A566A8" w:rsidRPr="00AA7352" w:rsidRDefault="00A566A8" w:rsidP="00F31A2C">
            <w:pPr>
              <w:rPr>
                <w:rFonts w:ascii="Aptos" w:hAnsi="Aptos"/>
                <w:sz w:val="20"/>
                <w:szCs w:val="20"/>
              </w:rPr>
            </w:pPr>
            <w:r w:rsidRPr="001B64BE">
              <w:rPr>
                <w:rFonts w:ascii="Aptos" w:hAnsi="Aptos"/>
                <w:sz w:val="20"/>
                <w:szCs w:val="20"/>
              </w:rPr>
              <w:t>PX089653</w:t>
            </w:r>
          </w:p>
        </w:tc>
        <w:tc>
          <w:tcPr>
            <w:tcW w:w="1145" w:type="dxa"/>
            <w:tcBorders>
              <w:top w:val="single" w:sz="4" w:space="0" w:color="auto"/>
              <w:left w:val="single" w:sz="4" w:space="0" w:color="auto"/>
              <w:bottom w:val="single" w:sz="4" w:space="0" w:color="auto"/>
              <w:right w:val="single" w:sz="4" w:space="0" w:color="auto"/>
            </w:tcBorders>
          </w:tcPr>
          <w:p w14:paraId="15DFB777" w14:textId="77777777" w:rsidR="00A566A8" w:rsidRPr="00AA7352" w:rsidRDefault="00A566A8" w:rsidP="00F31A2C">
            <w:pPr>
              <w:rPr>
                <w:rFonts w:ascii="Aptos" w:hAnsi="Aptos"/>
                <w:sz w:val="20"/>
                <w:szCs w:val="20"/>
              </w:rPr>
            </w:pPr>
            <w:r w:rsidRPr="001B64BE">
              <w:rPr>
                <w:rFonts w:ascii="Aptos" w:hAnsi="Aptos"/>
                <w:sz w:val="20"/>
                <w:szCs w:val="20"/>
              </w:rPr>
              <w:t>74736 bp</w:t>
            </w:r>
          </w:p>
        </w:tc>
        <w:tc>
          <w:tcPr>
            <w:tcW w:w="715" w:type="dxa"/>
            <w:tcBorders>
              <w:top w:val="single" w:sz="4" w:space="0" w:color="auto"/>
              <w:left w:val="single" w:sz="4" w:space="0" w:color="auto"/>
              <w:bottom w:val="single" w:sz="4" w:space="0" w:color="auto"/>
              <w:right w:val="single" w:sz="4" w:space="0" w:color="auto"/>
            </w:tcBorders>
          </w:tcPr>
          <w:p w14:paraId="428E0DE6" w14:textId="77777777" w:rsidR="00A566A8" w:rsidRPr="00AA7352" w:rsidRDefault="00A566A8" w:rsidP="00F31A2C">
            <w:pPr>
              <w:rPr>
                <w:rFonts w:ascii="Aptos" w:hAnsi="Aptos"/>
                <w:sz w:val="20"/>
                <w:szCs w:val="20"/>
              </w:rPr>
            </w:pPr>
            <w:r w:rsidRPr="001B64BE">
              <w:rPr>
                <w:rFonts w:ascii="Aptos" w:hAnsi="Aptos"/>
                <w:sz w:val="20"/>
                <w:szCs w:val="20"/>
              </w:rPr>
              <w:t>58.7</w:t>
            </w:r>
          </w:p>
        </w:tc>
        <w:tc>
          <w:tcPr>
            <w:tcW w:w="1145" w:type="dxa"/>
            <w:tcBorders>
              <w:top w:val="single" w:sz="4" w:space="0" w:color="auto"/>
              <w:left w:val="single" w:sz="4" w:space="0" w:color="auto"/>
              <w:bottom w:val="single" w:sz="4" w:space="0" w:color="auto"/>
              <w:right w:val="single" w:sz="4" w:space="0" w:color="auto"/>
            </w:tcBorders>
          </w:tcPr>
          <w:p w14:paraId="5EB7F6D6" w14:textId="77777777" w:rsidR="00A566A8" w:rsidRPr="00AA7352" w:rsidRDefault="00A566A8" w:rsidP="00F31A2C">
            <w:pPr>
              <w:rPr>
                <w:rFonts w:ascii="Aptos" w:hAnsi="Aptos"/>
                <w:sz w:val="20"/>
                <w:szCs w:val="20"/>
              </w:rPr>
            </w:pPr>
            <w:r>
              <w:rPr>
                <w:rFonts w:ascii="Aptos" w:hAnsi="Aptos"/>
                <w:sz w:val="20"/>
                <w:szCs w:val="20"/>
              </w:rPr>
              <w:t xml:space="preserve">1205 bp </w:t>
            </w:r>
            <w:r w:rsidRPr="001B64BE">
              <w:rPr>
                <w:rFonts w:ascii="Aptos" w:hAnsi="Aptos"/>
                <w:sz w:val="20"/>
                <w:szCs w:val="20"/>
              </w:rPr>
              <w:t>Direct Terminal Repeat</w:t>
            </w:r>
          </w:p>
        </w:tc>
        <w:tc>
          <w:tcPr>
            <w:tcW w:w="1129" w:type="dxa"/>
            <w:tcBorders>
              <w:top w:val="single" w:sz="4" w:space="0" w:color="auto"/>
              <w:left w:val="single" w:sz="4" w:space="0" w:color="auto"/>
              <w:bottom w:val="single" w:sz="4" w:space="0" w:color="auto"/>
              <w:right w:val="single" w:sz="4" w:space="0" w:color="auto"/>
            </w:tcBorders>
          </w:tcPr>
          <w:p w14:paraId="5285581E" w14:textId="77777777" w:rsidR="00A566A8" w:rsidRPr="00AA7352" w:rsidRDefault="00A566A8" w:rsidP="00F31A2C">
            <w:pPr>
              <w:rPr>
                <w:rFonts w:ascii="Aptos" w:hAnsi="Aptos"/>
                <w:sz w:val="20"/>
                <w:szCs w:val="20"/>
              </w:rPr>
            </w:pPr>
            <w:r>
              <w:rPr>
                <w:rFonts w:ascii="Aptos" w:hAnsi="Aptos"/>
                <w:sz w:val="20"/>
                <w:szCs w:val="20"/>
              </w:rPr>
              <w:t>96</w:t>
            </w:r>
          </w:p>
        </w:tc>
        <w:tc>
          <w:tcPr>
            <w:tcW w:w="776" w:type="dxa"/>
            <w:tcBorders>
              <w:top w:val="single" w:sz="4" w:space="0" w:color="auto"/>
              <w:left w:val="single" w:sz="4" w:space="0" w:color="auto"/>
              <w:bottom w:val="single" w:sz="4" w:space="0" w:color="auto"/>
              <w:right w:val="single" w:sz="4" w:space="0" w:color="auto"/>
            </w:tcBorders>
            <w:hideMark/>
          </w:tcPr>
          <w:p w14:paraId="609251B6" w14:textId="77777777" w:rsidR="00A566A8" w:rsidRPr="00AA7352" w:rsidRDefault="00A566A8" w:rsidP="00F31A2C">
            <w:pPr>
              <w:rPr>
                <w:rFonts w:ascii="Aptos" w:hAnsi="Aptos"/>
                <w:sz w:val="20"/>
                <w:szCs w:val="20"/>
              </w:rPr>
            </w:pPr>
            <w:r>
              <w:rPr>
                <w:rFonts w:ascii="Aptos" w:hAnsi="Aptos"/>
                <w:sz w:val="20"/>
                <w:szCs w:val="20"/>
              </w:rPr>
              <w:t>0</w:t>
            </w:r>
          </w:p>
        </w:tc>
      </w:tr>
    </w:tbl>
    <w:p w14:paraId="35E7DAD9" w14:textId="77777777" w:rsidR="00A566A8" w:rsidRDefault="00A566A8" w:rsidP="00A566A8">
      <w:pPr>
        <w:rPr>
          <w:rFonts w:ascii="Aptos" w:hAnsi="Aptos"/>
        </w:rPr>
      </w:pPr>
    </w:p>
    <w:p w14:paraId="1AC389EE" w14:textId="77777777" w:rsidR="00A566A8" w:rsidRDefault="00A566A8" w:rsidP="00A566A8">
      <w:pPr>
        <w:rPr>
          <w:rFonts w:ascii="Aptos" w:hAnsi="Aptos"/>
        </w:rPr>
      </w:pPr>
      <w:r w:rsidRPr="001B64BE">
        <w:rPr>
          <w:rFonts w:ascii="Aptos" w:hAnsi="Aptos"/>
          <w:i/>
          <w:iCs/>
        </w:rPr>
        <w:t xml:space="preserve">Gordonia </w:t>
      </w:r>
      <w:r w:rsidRPr="001B64BE">
        <w:rPr>
          <w:rFonts w:ascii="Aptos" w:hAnsi="Aptos"/>
        </w:rPr>
        <w:t>phage Vitaenoii</w:t>
      </w:r>
      <w:r w:rsidRPr="001B64BE">
        <w:rPr>
          <w:rFonts w:ascii="Aptos" w:hAnsi="Aptos"/>
          <w:i/>
          <w:iCs/>
        </w:rPr>
        <w:t xml:space="preserve"> </w:t>
      </w:r>
      <w:r>
        <w:rPr>
          <w:rFonts w:ascii="Aptos" w:hAnsi="Aptos"/>
        </w:rPr>
        <w:t>(</w:t>
      </w:r>
      <w:r w:rsidRPr="001B64BE">
        <w:rPr>
          <w:rFonts w:ascii="Aptos" w:hAnsi="Aptos"/>
        </w:rPr>
        <w:t>PV915899</w:t>
      </w:r>
      <w:r>
        <w:rPr>
          <w:rFonts w:ascii="Aptos" w:hAnsi="Aptos"/>
        </w:rPr>
        <w:t>) should be considered a strain within this genus.</w:t>
      </w:r>
    </w:p>
    <w:p w14:paraId="58D8B022" w14:textId="77777777" w:rsidR="00663642" w:rsidRDefault="00663642" w:rsidP="004B151F">
      <w:pPr>
        <w:rPr>
          <w:rFonts w:ascii="Aptos" w:hAnsi="Aptos"/>
        </w:rPr>
      </w:pPr>
    </w:p>
    <w:p w14:paraId="1D22CE8D" w14:textId="64416CDC" w:rsidR="00A566A8" w:rsidRPr="00663642" w:rsidRDefault="00A566A8" w:rsidP="004B151F">
      <w:pPr>
        <w:rPr>
          <w:rFonts w:ascii="Aptos" w:hAnsi="Aptos"/>
        </w:rPr>
      </w:pPr>
      <w:r w:rsidRPr="00A566A8">
        <w:rPr>
          <w:rFonts w:ascii="Aptos" w:hAnsi="Aptos"/>
          <w:b/>
          <w:bCs/>
        </w:rPr>
        <w:t>CoreGenes 5 analysis</w:t>
      </w:r>
      <w:r>
        <w:rPr>
          <w:rFonts w:ascii="Aptos" w:hAnsi="Aptos"/>
        </w:rPr>
        <w:t xml:space="preserve">:  An analysis of the proteomes of </w:t>
      </w:r>
      <w:r w:rsidRPr="00A566A8">
        <w:rPr>
          <w:rFonts w:ascii="Aptos" w:hAnsi="Aptos"/>
          <w:i/>
          <w:iCs/>
        </w:rPr>
        <w:t>Gordonia</w:t>
      </w:r>
      <w:r w:rsidRPr="00A566A8">
        <w:rPr>
          <w:rFonts w:ascii="Aptos" w:hAnsi="Aptos"/>
        </w:rPr>
        <w:t xml:space="preserve"> phages Reqi DocB7, Demosthenes, GMA7, Monty, Woes, Demosthenes and Vitaenoii revealed 36 homologs which included:  terminase large subunits, portal protein, head maturation protease, major head protein, head decoration protein,  head-tail adaptor, 2 tail assembly chaperones, 3 tail proteins, tail tape measure protein, 2 endolysins, holin, DNA methyltransferase, pyrophosphatase, Holliday junction resolvase, nucleoside 2-deoxyribosyltransferase, DNA polymerase processivity factor, DNA polymerase exonuclease subunit and DNA helicase &amp; primase.</w:t>
      </w:r>
    </w:p>
    <w:p w14:paraId="36E7398A" w14:textId="5A9BE308" w:rsidR="00EB10AB" w:rsidRPr="00EB10AB" w:rsidRDefault="00EB10AB" w:rsidP="00EB10AB">
      <w:pPr>
        <w:jc w:val="center"/>
        <w:rPr>
          <w:rFonts w:ascii="Aptos" w:hAnsi="Aptos"/>
        </w:rPr>
      </w:pPr>
      <w:r>
        <w:rPr>
          <w:rFonts w:ascii="Aptos" w:hAnsi="Aptos"/>
          <w:noProof/>
          <w:color w:val="0070C0"/>
        </w:rPr>
        <w:lastRenderedPageBreak/>
        <w:drawing>
          <wp:inline distT="0" distB="0" distL="0" distR="0" wp14:anchorId="2B3FF993" wp14:editId="187CD9A0">
            <wp:extent cx="2857500" cy="3810000"/>
            <wp:effectExtent l="0" t="0" r="0" b="0"/>
            <wp:docPr id="1536660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60771" name="Picture 1536660771"/>
                    <pic:cNvPicPr/>
                  </pic:nvPicPr>
                  <pic:blipFill>
                    <a:blip r:embed="rId16">
                      <a:extLst>
                        <a:ext uri="{28A0092B-C50C-407E-A947-70E740481C1C}">
                          <a14:useLocalDpi xmlns:a14="http://schemas.microsoft.com/office/drawing/2010/main" val="0"/>
                        </a:ext>
                      </a:extLst>
                    </a:blip>
                    <a:stretch>
                      <a:fillRect/>
                    </a:stretch>
                  </pic:blipFill>
                  <pic:spPr>
                    <a:xfrm>
                      <a:off x="0" y="0"/>
                      <a:ext cx="2857500" cy="3810000"/>
                    </a:xfrm>
                    <a:prstGeom prst="rect">
                      <a:avLst/>
                    </a:prstGeom>
                  </pic:spPr>
                </pic:pic>
              </a:graphicData>
            </a:graphic>
          </wp:inline>
        </w:drawing>
      </w:r>
      <w:r w:rsidRPr="00EB10AB">
        <w:rPr>
          <w:rFonts w:ascii="Aptos" w:hAnsi="Aptos"/>
        </w:rPr>
        <w:t>(derived from: University of Wisconsin-Madison)</w:t>
      </w:r>
    </w:p>
    <w:p w14:paraId="4A0D6616" w14:textId="77777777" w:rsidR="00EB10AB" w:rsidRDefault="00EB10AB" w:rsidP="00EB10AB">
      <w:pPr>
        <w:rPr>
          <w:rFonts w:ascii="Aptos" w:hAnsi="Aptos" w:cs="Arial"/>
          <w:b/>
          <w:bCs/>
          <w:lang w:val="en-GB"/>
        </w:rPr>
      </w:pPr>
    </w:p>
    <w:p w14:paraId="4B5063E4" w14:textId="1CEEF374" w:rsidR="00EB10AB" w:rsidRPr="00EB10AB" w:rsidRDefault="00EB10AB" w:rsidP="00EB10AB">
      <w:pPr>
        <w:rPr>
          <w:rFonts w:ascii="Aptos" w:hAnsi="Aptos" w:cs="Arial"/>
          <w:lang w:val="en-GB"/>
        </w:rPr>
      </w:pPr>
      <w:r w:rsidRPr="00EB10AB">
        <w:rPr>
          <w:rFonts w:ascii="Aptos" w:hAnsi="Aptos" w:cs="Arial"/>
          <w:b/>
          <w:bCs/>
          <w:lang w:val="en-GB"/>
        </w:rPr>
        <w:t xml:space="preserve">Origin of the name of this taxon:  </w:t>
      </w:r>
      <w:r w:rsidRPr="00EB10AB">
        <w:rPr>
          <w:rFonts w:ascii="Aptos" w:hAnsi="Aptos" w:cs="Arial"/>
          <w:lang w:val="en-GB"/>
        </w:rPr>
        <w:t xml:space="preserve">This taxon is named in honour of Polish-American molecular geneticist Dr. Wacław Tadeusz Szybalski (pronunciation: Vah-tswahf Shih-BAHL-skee; b. 1921, Lwów, Poland; d. 2020, Madison WI USA) </w:t>
      </w:r>
      <w:r w:rsidR="000C14E4">
        <w:rPr>
          <w:rFonts w:ascii="Aptos" w:hAnsi="Aptos" w:cs="Arial"/>
          <w:lang w:val="en-GB"/>
        </w:rPr>
        <w:t xml:space="preserve">who </w:t>
      </w:r>
      <w:r w:rsidRPr="00EB10AB">
        <w:rPr>
          <w:rFonts w:ascii="Aptos" w:hAnsi="Aptos" w:cs="Arial"/>
          <w:lang w:val="en-GB"/>
        </w:rPr>
        <w:t xml:space="preserve">received a BS in chemical engineering in 1944 </w:t>
      </w:r>
      <w:r w:rsidR="000C14E4">
        <w:rPr>
          <w:rFonts w:ascii="Aptos" w:hAnsi="Aptos" w:cs="Arial"/>
          <w:lang w:val="en-GB"/>
        </w:rPr>
        <w:t>from</w:t>
      </w:r>
      <w:r w:rsidRPr="00EB10AB">
        <w:rPr>
          <w:rFonts w:ascii="Aptos" w:hAnsi="Aptos" w:cs="Arial"/>
          <w:lang w:val="en-GB"/>
        </w:rPr>
        <w:t xml:space="preserve"> the Institutes of Technology in Lwów, Poland. During WWII the Szybalski family managed to survive both the Nazi and Soviet occupations of Lwow partly due to their involvement in the production of typhus vaccine at the Typhus Institute of Professor Rudolf Stefan Weigl. He received a MS in chemical engineering in 1945 in Gliwice, Poland; and defended his doctorate in chemical sciences at the Gdańsk University of Technology in 1949 under the supervision of Professor Ernest Sym. In 1950 he immigrated to the USA and found work as a scientist at Wyeth Inc., West Chester PA, and then joined Cold Spring Harbor Laboratory from 1951-1955 as a staff member. </w:t>
      </w:r>
    </w:p>
    <w:p w14:paraId="66150841" w14:textId="77777777" w:rsidR="00EB10AB" w:rsidRPr="00EB10AB" w:rsidRDefault="00EB10AB" w:rsidP="00EB10AB">
      <w:pPr>
        <w:rPr>
          <w:rFonts w:ascii="Aptos" w:hAnsi="Aptos" w:cs="Arial"/>
          <w:lang w:val="en-GB"/>
        </w:rPr>
      </w:pPr>
    </w:p>
    <w:p w14:paraId="4FEA8B11" w14:textId="44B38269" w:rsidR="00EB10AB" w:rsidRPr="00EB10AB" w:rsidRDefault="00EB10AB" w:rsidP="00EB10AB">
      <w:pPr>
        <w:rPr>
          <w:rFonts w:ascii="Aptos" w:hAnsi="Aptos" w:cs="Arial"/>
          <w:lang w:val="en-GB"/>
        </w:rPr>
      </w:pPr>
      <w:r w:rsidRPr="00EB10AB">
        <w:rPr>
          <w:rFonts w:ascii="Aptos" w:hAnsi="Aptos" w:cs="Arial"/>
          <w:lang w:val="en-GB"/>
        </w:rPr>
        <w:t>In 1960, after several years at Rutgers University, Szybalski joined the McArdle Laboratory for Cancer Research at the University of Wisconsin - Madison and began pioneering research into virus</w:t>
      </w:r>
      <w:r w:rsidR="000C14E4">
        <w:rPr>
          <w:rFonts w:ascii="Aptos" w:hAnsi="Aptos" w:cs="Arial"/>
          <w:lang w:val="en-GB"/>
        </w:rPr>
        <w:t>es</w:t>
      </w:r>
      <w:r w:rsidRPr="00EB10AB">
        <w:rPr>
          <w:rFonts w:ascii="Aptos" w:hAnsi="Aptos" w:cs="Arial"/>
          <w:lang w:val="en-GB"/>
        </w:rPr>
        <w:t xml:space="preserve"> capable of infecting bacteria. </w:t>
      </w:r>
      <w:r w:rsidR="000C14E4">
        <w:rPr>
          <w:rFonts w:ascii="Aptos" w:hAnsi="Aptos" w:cs="Arial"/>
          <w:lang w:val="en-GB"/>
        </w:rPr>
        <w:t>L</w:t>
      </w:r>
      <w:r w:rsidRPr="00EB10AB">
        <w:rPr>
          <w:rFonts w:ascii="Aptos" w:hAnsi="Aptos" w:cs="Arial"/>
          <w:lang w:val="en-GB"/>
        </w:rPr>
        <w:t>ambda phage became the basis of Szybalski's long-term interest in method</w:t>
      </w:r>
      <w:r w:rsidR="006D1C4B">
        <w:rPr>
          <w:rFonts w:ascii="Aptos" w:hAnsi="Aptos" w:cs="Arial"/>
          <w:lang w:val="en-GB"/>
        </w:rPr>
        <w:t>s</w:t>
      </w:r>
      <w:r w:rsidRPr="00EB10AB">
        <w:rPr>
          <w:rFonts w:ascii="Aptos" w:hAnsi="Aptos" w:cs="Arial"/>
          <w:lang w:val="en-GB"/>
        </w:rPr>
        <w:t xml:space="preserve"> of gene transfer, modification and regulation. From 1960 to 2003, he was a </w:t>
      </w:r>
      <w:r w:rsidR="0010414C" w:rsidRPr="00EB10AB">
        <w:rPr>
          <w:rFonts w:ascii="Aptos" w:hAnsi="Aptos" w:cs="Arial"/>
          <w:lang w:val="en-GB"/>
        </w:rPr>
        <w:t>full</w:t>
      </w:r>
      <w:r w:rsidR="0010414C">
        <w:rPr>
          <w:rFonts w:ascii="Aptos" w:hAnsi="Aptos" w:cs="Arial"/>
          <w:lang w:val="en-GB"/>
        </w:rPr>
        <w:t xml:space="preserve"> </w:t>
      </w:r>
      <w:r w:rsidR="0010414C" w:rsidRPr="00EB10AB">
        <w:rPr>
          <w:rFonts w:ascii="Aptos" w:hAnsi="Aptos" w:cs="Arial"/>
          <w:lang w:val="en-GB"/>
        </w:rPr>
        <w:t>professor</w:t>
      </w:r>
      <w:r w:rsidRPr="00EB10AB">
        <w:rPr>
          <w:rFonts w:ascii="Aptos" w:hAnsi="Aptos" w:cs="Arial"/>
          <w:lang w:val="en-GB"/>
        </w:rPr>
        <w:t xml:space="preserve"> of oncology at the University of Wisconsin-Madison, actively engaged in research there together with his wife</w:t>
      </w:r>
      <w:r w:rsidR="0010414C">
        <w:rPr>
          <w:rFonts w:ascii="Aptos" w:hAnsi="Aptos" w:cs="Arial"/>
          <w:lang w:val="en-GB"/>
        </w:rPr>
        <w:t>, Elizabeth</w:t>
      </w:r>
      <w:r w:rsidRPr="00EB10AB">
        <w:rPr>
          <w:rFonts w:ascii="Aptos" w:hAnsi="Aptos" w:cs="Arial"/>
          <w:lang w:val="en-GB"/>
        </w:rPr>
        <w:t xml:space="preserve">. He was the recipient of the Hilldale Awards, the University of Wisconsin-Madison's highest honour. Wacław's prolific research output in the United States began with genetic studies of drug resistance that led to the use of multi-drug therapy that is now widely used to treat bacterial and viral infections and cancer. His studies of the antibiotic-producing soil microorganism, </w:t>
      </w:r>
      <w:r w:rsidRPr="00EB10AB">
        <w:rPr>
          <w:rFonts w:ascii="Aptos" w:hAnsi="Aptos" w:cs="Arial"/>
          <w:i/>
          <w:iCs/>
          <w:lang w:val="en-GB"/>
        </w:rPr>
        <w:t>Streptomyces</w:t>
      </w:r>
      <w:r w:rsidRPr="00EB10AB">
        <w:rPr>
          <w:rFonts w:ascii="Aptos" w:hAnsi="Aptos" w:cs="Arial"/>
          <w:lang w:val="en-GB"/>
        </w:rPr>
        <w:t xml:space="preserve">, yielded information that was useful in the commercial production of streptomycin, an effective therapeutic for treating tuberculosis. Wacław and his wife were the first researchers to perform gene transfer into mammalian cells (using HAT medium) and to introduce the ground-breaking idea that treatment for human genetic </w:t>
      </w:r>
      <w:r w:rsidRPr="00EB10AB">
        <w:rPr>
          <w:rFonts w:ascii="Aptos" w:hAnsi="Aptos" w:cs="Arial"/>
          <w:lang w:val="en-GB"/>
        </w:rPr>
        <w:lastRenderedPageBreak/>
        <w:t>diseases could be made possible through gene therapy. His work laid the foundations for several Nobel Prizes won by others.</w:t>
      </w:r>
    </w:p>
    <w:p w14:paraId="73E5E2C4" w14:textId="77777777" w:rsidR="00EB10AB" w:rsidRPr="00EB10AB" w:rsidRDefault="00EB10AB" w:rsidP="00EB10AB">
      <w:pPr>
        <w:rPr>
          <w:rFonts w:ascii="Aptos" w:hAnsi="Aptos" w:cs="Arial"/>
          <w:lang w:val="en-GB"/>
        </w:rPr>
      </w:pPr>
    </w:p>
    <w:p w14:paraId="55396001" w14:textId="2475D0BD" w:rsidR="00EB10AB" w:rsidRPr="00EB10AB" w:rsidRDefault="00EB10AB" w:rsidP="00EB10AB">
      <w:pPr>
        <w:rPr>
          <w:rFonts w:ascii="Aptos" w:hAnsi="Aptos" w:cs="Arial"/>
          <w:lang w:val="en-GB"/>
        </w:rPr>
      </w:pPr>
      <w:r w:rsidRPr="00EB10AB">
        <w:rPr>
          <w:rFonts w:ascii="Aptos" w:hAnsi="Aptos" w:cs="Arial"/>
          <w:lang w:val="en-GB"/>
        </w:rPr>
        <w:t xml:space="preserve">Wacław retired in 2003 </w:t>
      </w:r>
      <w:r w:rsidR="00DF6E85">
        <w:rPr>
          <w:rFonts w:ascii="Aptos" w:hAnsi="Aptos" w:cs="Arial"/>
          <w:lang w:val="en-GB"/>
        </w:rPr>
        <w:t>holding</w:t>
      </w:r>
      <w:r w:rsidRPr="00EB10AB">
        <w:rPr>
          <w:rFonts w:ascii="Aptos" w:hAnsi="Aptos" w:cs="Arial"/>
          <w:lang w:val="en-GB"/>
        </w:rPr>
        <w:t xml:space="preserve"> the rank of Emeritus Professor of Oncology and of Genetics at the University of Wisconsin-Madison. He was elected a Fellow of the American Association for the Advancement of Science and was a Foreign Member of the Polish Academy of Sciences. In 2011, he received the highest honour awarded in Poland, becoming a Knight of the Order of Polonia Restituta, First Class. He also received five honorary doctorates from leading universities in Poland.</w:t>
      </w:r>
    </w:p>
    <w:p w14:paraId="1524E84C" w14:textId="77777777" w:rsidR="00EB10AB" w:rsidRPr="00EB10AB" w:rsidRDefault="00EB10AB" w:rsidP="00EB10AB">
      <w:pPr>
        <w:rPr>
          <w:rFonts w:ascii="Aptos" w:hAnsi="Aptos" w:cs="Arial"/>
          <w:lang w:val="en-GB"/>
        </w:rPr>
      </w:pPr>
    </w:p>
    <w:p w14:paraId="236989AD" w14:textId="6030CF5E" w:rsidR="00CF7955" w:rsidRPr="00EB10AB" w:rsidRDefault="00EB10AB" w:rsidP="00EB10AB">
      <w:pPr>
        <w:rPr>
          <w:rFonts w:ascii="Aptos" w:hAnsi="Aptos"/>
          <w:color w:val="0070C0"/>
        </w:rPr>
      </w:pPr>
      <w:r w:rsidRPr="00EB10AB">
        <w:rPr>
          <w:rFonts w:ascii="Aptos" w:hAnsi="Aptos" w:cs="Arial"/>
          <w:lang w:val="en-GB"/>
        </w:rPr>
        <w:t xml:space="preserve">Wacław contributed to the advancement of molecular genetics both in the United States and Poland, and remained a strong patriot of both countries to the end of his life. (derived from: </w:t>
      </w:r>
      <w:hyperlink r:id="rId17" w:history="1">
        <w:r w:rsidRPr="0088736F">
          <w:rPr>
            <w:rStyle w:val="Hyperlink"/>
            <w:rFonts w:ascii="Aptos" w:hAnsi="Aptos" w:cs="Arial"/>
            <w:lang w:val="en-GB"/>
          </w:rPr>
          <w:t>https://kuryerpolski.us/en/Page/View/waclaw-szybalski</w:t>
        </w:r>
      </w:hyperlink>
      <w:r w:rsidRPr="00EB10AB">
        <w:rPr>
          <w:rFonts w:ascii="Aptos" w:hAnsi="Aptos" w:cs="Arial"/>
          <w:lang w:val="en-GB"/>
        </w:rPr>
        <w:t>;</w:t>
      </w:r>
      <w:r>
        <w:rPr>
          <w:rFonts w:ascii="Aptos" w:hAnsi="Aptos" w:cs="Arial"/>
          <w:lang w:val="en-GB"/>
        </w:rPr>
        <w:t xml:space="preserve"> </w:t>
      </w:r>
      <w:r w:rsidRPr="00EB10AB">
        <w:rPr>
          <w:rFonts w:ascii="Aptos" w:hAnsi="Aptos" w:cs="Arial"/>
          <w:lang w:val="en-GB"/>
        </w:rPr>
        <w:t xml:space="preserve"> </w:t>
      </w:r>
      <w:hyperlink r:id="rId18" w:history="1">
        <w:r w:rsidRPr="0088736F">
          <w:rPr>
            <w:rStyle w:val="Hyperlink"/>
            <w:rFonts w:ascii="Aptos" w:hAnsi="Aptos" w:cs="Arial"/>
            <w:lang w:val="en-GB"/>
          </w:rPr>
          <w:t>https://www.cshl.edu/personal-collections/waclaw-szybalski/</w:t>
        </w:r>
      </w:hyperlink>
      <w:r w:rsidRPr="00EB10AB">
        <w:rPr>
          <w:rFonts w:ascii="Aptos" w:hAnsi="Aptos" w:cs="Arial"/>
          <w:lang w:val="en-GB"/>
        </w:rPr>
        <w:t>;</w:t>
      </w:r>
      <w:r>
        <w:rPr>
          <w:rFonts w:ascii="Aptos" w:hAnsi="Aptos" w:cs="Arial"/>
          <w:lang w:val="en-GB"/>
        </w:rPr>
        <w:t xml:space="preserve"> </w:t>
      </w:r>
      <w:r w:rsidRPr="00EB10AB">
        <w:rPr>
          <w:rFonts w:ascii="Aptos" w:hAnsi="Aptos" w:cs="Arial"/>
          <w:lang w:val="en-GB"/>
        </w:rPr>
        <w:t xml:space="preserve"> </w:t>
      </w:r>
      <w:hyperlink r:id="rId19" w:history="1">
        <w:r w:rsidRPr="0088736F">
          <w:rPr>
            <w:rStyle w:val="Hyperlink"/>
            <w:rFonts w:ascii="Aptos" w:hAnsi="Aptos" w:cs="Arial"/>
            <w:lang w:val="en-GB"/>
          </w:rPr>
          <w:t>https://mcardle.wisc.edu/2020/12/24/dr-waclaw-tadeusz-szybalski-september-9-1921-december-15-2020/</w:t>
        </w:r>
      </w:hyperlink>
      <w:r w:rsidRPr="00EB10AB">
        <w:rPr>
          <w:rFonts w:ascii="Aptos" w:hAnsi="Aptos" w:cs="Arial"/>
          <w:lang w:val="en-GB"/>
        </w:rPr>
        <w:t>).</w:t>
      </w:r>
      <w:r>
        <w:rPr>
          <w:rFonts w:ascii="Aptos" w:hAnsi="Aptos" w:cs="Arial"/>
          <w:lang w:val="en-GB"/>
        </w:rPr>
        <w:t xml:space="preserve"> </w:t>
      </w:r>
    </w:p>
    <w:sectPr w:rsidR="00CF7955" w:rsidRPr="00EB10AB" w:rsidSect="00A82FBB">
      <w:headerReference w:type="default" r:id="rId20"/>
      <w:footerReference w:type="default" r:id="rId2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420ED" w14:textId="77777777" w:rsidR="00B25010" w:rsidRDefault="00B25010">
      <w:r>
        <w:separator/>
      </w:r>
    </w:p>
  </w:endnote>
  <w:endnote w:type="continuationSeparator" w:id="0">
    <w:p w14:paraId="485C683C" w14:textId="77777777" w:rsidR="00B25010" w:rsidRDefault="00B25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FAB01" w14:textId="77777777" w:rsidR="00B25010" w:rsidRDefault="00B25010">
      <w:r>
        <w:separator/>
      </w:r>
    </w:p>
  </w:footnote>
  <w:footnote w:type="continuationSeparator" w:id="0">
    <w:p w14:paraId="262B03D5" w14:textId="77777777" w:rsidR="00B25010" w:rsidRDefault="00B25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7BF9"/>
    <w:rsid w:val="00023385"/>
    <w:rsid w:val="00035A87"/>
    <w:rsid w:val="000406E1"/>
    <w:rsid w:val="00040CB0"/>
    <w:rsid w:val="0004176B"/>
    <w:rsid w:val="000449DB"/>
    <w:rsid w:val="0008012E"/>
    <w:rsid w:val="000A146A"/>
    <w:rsid w:val="000A7027"/>
    <w:rsid w:val="000B1BF3"/>
    <w:rsid w:val="000B5D78"/>
    <w:rsid w:val="000B6878"/>
    <w:rsid w:val="000C14E4"/>
    <w:rsid w:val="000C35CF"/>
    <w:rsid w:val="000C5AF8"/>
    <w:rsid w:val="000D182E"/>
    <w:rsid w:val="000E54FF"/>
    <w:rsid w:val="000F51F4"/>
    <w:rsid w:val="000F7067"/>
    <w:rsid w:val="0010414C"/>
    <w:rsid w:val="00106232"/>
    <w:rsid w:val="0011008F"/>
    <w:rsid w:val="00114D9E"/>
    <w:rsid w:val="00117C72"/>
    <w:rsid w:val="0013113D"/>
    <w:rsid w:val="001322FC"/>
    <w:rsid w:val="00144FE0"/>
    <w:rsid w:val="00161163"/>
    <w:rsid w:val="00171083"/>
    <w:rsid w:val="00172351"/>
    <w:rsid w:val="001869B1"/>
    <w:rsid w:val="001975F5"/>
    <w:rsid w:val="001B399E"/>
    <w:rsid w:val="001B64BE"/>
    <w:rsid w:val="001D0007"/>
    <w:rsid w:val="001D3E3E"/>
    <w:rsid w:val="001D6ACA"/>
    <w:rsid w:val="001E6364"/>
    <w:rsid w:val="00220A26"/>
    <w:rsid w:val="002312CE"/>
    <w:rsid w:val="0023149A"/>
    <w:rsid w:val="0023696B"/>
    <w:rsid w:val="0024086E"/>
    <w:rsid w:val="0025498B"/>
    <w:rsid w:val="00273642"/>
    <w:rsid w:val="00284474"/>
    <w:rsid w:val="00296DA3"/>
    <w:rsid w:val="002A5A83"/>
    <w:rsid w:val="002D4340"/>
    <w:rsid w:val="002F75B5"/>
    <w:rsid w:val="00327E73"/>
    <w:rsid w:val="00333392"/>
    <w:rsid w:val="0034601F"/>
    <w:rsid w:val="00355CE0"/>
    <w:rsid w:val="00363A30"/>
    <w:rsid w:val="0037243A"/>
    <w:rsid w:val="00382C24"/>
    <w:rsid w:val="00382FE8"/>
    <w:rsid w:val="00383BBF"/>
    <w:rsid w:val="0038593F"/>
    <w:rsid w:val="003A166F"/>
    <w:rsid w:val="003A18C5"/>
    <w:rsid w:val="003A5ED7"/>
    <w:rsid w:val="003B0883"/>
    <w:rsid w:val="003B3832"/>
    <w:rsid w:val="003C5428"/>
    <w:rsid w:val="003D3845"/>
    <w:rsid w:val="003E0AEA"/>
    <w:rsid w:val="003F2A97"/>
    <w:rsid w:val="003F7AA8"/>
    <w:rsid w:val="00430D64"/>
    <w:rsid w:val="0043110C"/>
    <w:rsid w:val="00437970"/>
    <w:rsid w:val="0045047F"/>
    <w:rsid w:val="00450DA3"/>
    <w:rsid w:val="00455F3F"/>
    <w:rsid w:val="00471256"/>
    <w:rsid w:val="004B151F"/>
    <w:rsid w:val="004E3C35"/>
    <w:rsid w:val="004F2F1E"/>
    <w:rsid w:val="004F3196"/>
    <w:rsid w:val="0050034E"/>
    <w:rsid w:val="00536426"/>
    <w:rsid w:val="00543F86"/>
    <w:rsid w:val="0055461D"/>
    <w:rsid w:val="00574D1A"/>
    <w:rsid w:val="0058465A"/>
    <w:rsid w:val="00590DF3"/>
    <w:rsid w:val="005A54C3"/>
    <w:rsid w:val="005B4C7D"/>
    <w:rsid w:val="005C55EF"/>
    <w:rsid w:val="005D4CD0"/>
    <w:rsid w:val="005F0138"/>
    <w:rsid w:val="005F22A5"/>
    <w:rsid w:val="006043FB"/>
    <w:rsid w:val="00607227"/>
    <w:rsid w:val="006109F7"/>
    <w:rsid w:val="00647814"/>
    <w:rsid w:val="00653A58"/>
    <w:rsid w:val="00663642"/>
    <w:rsid w:val="0067795B"/>
    <w:rsid w:val="00683D0C"/>
    <w:rsid w:val="0069192D"/>
    <w:rsid w:val="006B7AB8"/>
    <w:rsid w:val="006C0F51"/>
    <w:rsid w:val="006D18F6"/>
    <w:rsid w:val="006D1C4B"/>
    <w:rsid w:val="006D428E"/>
    <w:rsid w:val="006F33B7"/>
    <w:rsid w:val="00723577"/>
    <w:rsid w:val="0072682D"/>
    <w:rsid w:val="00734493"/>
    <w:rsid w:val="00736440"/>
    <w:rsid w:val="00737875"/>
    <w:rsid w:val="00740A3F"/>
    <w:rsid w:val="00741880"/>
    <w:rsid w:val="00750139"/>
    <w:rsid w:val="007B0F70"/>
    <w:rsid w:val="007B6511"/>
    <w:rsid w:val="007E0EC0"/>
    <w:rsid w:val="007E0EF5"/>
    <w:rsid w:val="007E3FAE"/>
    <w:rsid w:val="007E667B"/>
    <w:rsid w:val="007F6654"/>
    <w:rsid w:val="0081105D"/>
    <w:rsid w:val="00822B3A"/>
    <w:rsid w:val="00824208"/>
    <w:rsid w:val="008264B7"/>
    <w:rsid w:val="008308A0"/>
    <w:rsid w:val="0084311F"/>
    <w:rsid w:val="00852D43"/>
    <w:rsid w:val="00860B9C"/>
    <w:rsid w:val="008632F1"/>
    <w:rsid w:val="00863626"/>
    <w:rsid w:val="00865726"/>
    <w:rsid w:val="00866E9E"/>
    <w:rsid w:val="008743C4"/>
    <w:rsid w:val="008815EE"/>
    <w:rsid w:val="0088306C"/>
    <w:rsid w:val="00883A5C"/>
    <w:rsid w:val="008A22E9"/>
    <w:rsid w:val="008B43B1"/>
    <w:rsid w:val="008C4C04"/>
    <w:rsid w:val="008F51E2"/>
    <w:rsid w:val="00901EBC"/>
    <w:rsid w:val="00903048"/>
    <w:rsid w:val="009078FF"/>
    <w:rsid w:val="00912285"/>
    <w:rsid w:val="009457C8"/>
    <w:rsid w:val="00953FFE"/>
    <w:rsid w:val="00964F7C"/>
    <w:rsid w:val="009703AF"/>
    <w:rsid w:val="00974174"/>
    <w:rsid w:val="009741D1"/>
    <w:rsid w:val="00974C28"/>
    <w:rsid w:val="00976E37"/>
    <w:rsid w:val="009A3B4A"/>
    <w:rsid w:val="009C178E"/>
    <w:rsid w:val="009C5CE9"/>
    <w:rsid w:val="009F1A90"/>
    <w:rsid w:val="009F7856"/>
    <w:rsid w:val="00A10BA1"/>
    <w:rsid w:val="00A15D19"/>
    <w:rsid w:val="00A174CC"/>
    <w:rsid w:val="00A2357C"/>
    <w:rsid w:val="00A30E50"/>
    <w:rsid w:val="00A368BE"/>
    <w:rsid w:val="00A443CA"/>
    <w:rsid w:val="00A566A8"/>
    <w:rsid w:val="00A71C40"/>
    <w:rsid w:val="00A77B8E"/>
    <w:rsid w:val="00A82FBB"/>
    <w:rsid w:val="00A83EB8"/>
    <w:rsid w:val="00AA4711"/>
    <w:rsid w:val="00AC5939"/>
    <w:rsid w:val="00AD201A"/>
    <w:rsid w:val="00AD2884"/>
    <w:rsid w:val="00AD5A3A"/>
    <w:rsid w:val="00AD7186"/>
    <w:rsid w:val="00AD759B"/>
    <w:rsid w:val="00AE2E79"/>
    <w:rsid w:val="00AE528C"/>
    <w:rsid w:val="00AF4998"/>
    <w:rsid w:val="00AF68D1"/>
    <w:rsid w:val="00B03B7F"/>
    <w:rsid w:val="00B1187F"/>
    <w:rsid w:val="00B25010"/>
    <w:rsid w:val="00B35CC8"/>
    <w:rsid w:val="00B47589"/>
    <w:rsid w:val="00B57245"/>
    <w:rsid w:val="00B91A8A"/>
    <w:rsid w:val="00BD4195"/>
    <w:rsid w:val="00BD6C0B"/>
    <w:rsid w:val="00BD7967"/>
    <w:rsid w:val="00BE35E3"/>
    <w:rsid w:val="00BE4F5A"/>
    <w:rsid w:val="00C06CB1"/>
    <w:rsid w:val="00C0710C"/>
    <w:rsid w:val="00C321B1"/>
    <w:rsid w:val="00C44F47"/>
    <w:rsid w:val="00C55633"/>
    <w:rsid w:val="00C8775F"/>
    <w:rsid w:val="00C93B1E"/>
    <w:rsid w:val="00C95FB7"/>
    <w:rsid w:val="00CD2C82"/>
    <w:rsid w:val="00CF59EA"/>
    <w:rsid w:val="00CF7955"/>
    <w:rsid w:val="00D04287"/>
    <w:rsid w:val="00D062BE"/>
    <w:rsid w:val="00D10857"/>
    <w:rsid w:val="00D13AD5"/>
    <w:rsid w:val="00D23567"/>
    <w:rsid w:val="00D46663"/>
    <w:rsid w:val="00D77E1C"/>
    <w:rsid w:val="00D8162F"/>
    <w:rsid w:val="00D84D74"/>
    <w:rsid w:val="00DC4A69"/>
    <w:rsid w:val="00DC5230"/>
    <w:rsid w:val="00DD58AA"/>
    <w:rsid w:val="00DE01F5"/>
    <w:rsid w:val="00DF6E85"/>
    <w:rsid w:val="00E034BE"/>
    <w:rsid w:val="00E37077"/>
    <w:rsid w:val="00E50727"/>
    <w:rsid w:val="00E76F66"/>
    <w:rsid w:val="00E83F0E"/>
    <w:rsid w:val="00E863D4"/>
    <w:rsid w:val="00E92794"/>
    <w:rsid w:val="00E969AE"/>
    <w:rsid w:val="00EB10AB"/>
    <w:rsid w:val="00ED4569"/>
    <w:rsid w:val="00EE0AC6"/>
    <w:rsid w:val="00EE312E"/>
    <w:rsid w:val="00EE484F"/>
    <w:rsid w:val="00EF2448"/>
    <w:rsid w:val="00F110F7"/>
    <w:rsid w:val="00F223B6"/>
    <w:rsid w:val="00F62692"/>
    <w:rsid w:val="00F7064A"/>
    <w:rsid w:val="00F711CE"/>
    <w:rsid w:val="00F74510"/>
    <w:rsid w:val="00F807DA"/>
    <w:rsid w:val="00F9028E"/>
    <w:rsid w:val="00F911F1"/>
    <w:rsid w:val="00F943F9"/>
    <w:rsid w:val="00FA1DC3"/>
    <w:rsid w:val="00FB300C"/>
    <w:rsid w:val="00FC2269"/>
    <w:rsid w:val="00FE595F"/>
    <w:rsid w:val="00FE6787"/>
    <w:rsid w:val="00FF0870"/>
    <w:rsid w:val="00FF4171"/>
    <w:rsid w:val="01FA9365"/>
    <w:rsid w:val="142D7118"/>
    <w:rsid w:val="1D520ECE"/>
    <w:rsid w:val="1DB8D515"/>
    <w:rsid w:val="251D75D0"/>
    <w:rsid w:val="2ECA4F39"/>
    <w:rsid w:val="36677BBF"/>
    <w:rsid w:val="4C9ACAC5"/>
    <w:rsid w:val="5589F1AC"/>
    <w:rsid w:val="5D3693BD"/>
    <w:rsid w:val="5F991993"/>
    <w:rsid w:val="6F5B4D95"/>
    <w:rsid w:val="7916CDC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www.cshl.edu/personal-collections/waclaw-szybalski/"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kuryerpolski.us/en/Page/View/waclaw-szybalski"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phylogeny.lirmm.fr/phylo_cgi/simple_phylogeny.cgi"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mcardle.wisc.edu/2020/12/24/dr-waclaw-tadeusz-szybalski-september-9-1921-december-15-2020/" TargetMode="Externa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60</TotalTime>
  <Pages>12</Pages>
  <Words>2697</Words>
  <Characters>15376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13</cp:revision>
  <dcterms:created xsi:type="dcterms:W3CDTF">2026-09-08T09:24:00Z</dcterms:created>
  <dcterms:modified xsi:type="dcterms:W3CDTF">2026-09-13T08:18:00Z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