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1BCC6B3B">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57DD04D6" w:rsidR="00E37077" w:rsidRPr="001D0007" w:rsidRDefault="02BEFF51" w:rsidP="1BCC6B3B">
            <w:pPr>
              <w:rPr>
                <w:rFonts w:ascii="Aptos" w:hAnsi="Aptos" w:cs="Arial"/>
                <w:color w:val="000000" w:themeColor="text1"/>
                <w:sz w:val="20"/>
                <w:szCs w:val="20"/>
              </w:rPr>
            </w:pPr>
            <w:r w:rsidRPr="1BCC6B3B">
              <w:rPr>
                <w:rFonts w:ascii="Aptos" w:hAnsi="Aptos" w:cs="Arial"/>
                <w:color w:val="000000" w:themeColor="text1"/>
                <w:sz w:val="20"/>
                <w:szCs w:val="20"/>
              </w:rPr>
              <w:t xml:space="preserve">To create a new genus, </w:t>
            </w:r>
            <w:r w:rsidRPr="1BCC6B3B">
              <w:rPr>
                <w:rFonts w:ascii="Aptos" w:hAnsi="Aptos" w:cs="Arial"/>
                <w:i/>
                <w:iCs/>
                <w:color w:val="000000" w:themeColor="text1"/>
                <w:sz w:val="20"/>
                <w:szCs w:val="20"/>
              </w:rPr>
              <w:t>Obliviatevirus</w:t>
            </w:r>
            <w:r w:rsidRPr="1BCC6B3B">
              <w:rPr>
                <w:rFonts w:ascii="Aptos" w:hAnsi="Aptos" w:cs="Arial"/>
                <w:color w:val="000000" w:themeColor="text1"/>
                <w:sz w:val="20"/>
                <w:szCs w:val="20"/>
              </w:rPr>
              <w:t xml:space="preserve"> with 25 species of </w:t>
            </w:r>
            <w:r w:rsidRPr="1BCC6B3B">
              <w:rPr>
                <w:rFonts w:ascii="Aptos" w:hAnsi="Aptos" w:cs="Arial"/>
                <w:i/>
                <w:iCs/>
                <w:color w:val="000000" w:themeColor="text1"/>
                <w:sz w:val="20"/>
                <w:szCs w:val="20"/>
              </w:rPr>
              <w:t>Gordonia</w:t>
            </w:r>
            <w:r w:rsidRPr="1BCC6B3B">
              <w:rPr>
                <w:rFonts w:ascii="Aptos" w:hAnsi="Aptos" w:cs="Arial"/>
                <w:color w:val="000000" w:themeColor="text1"/>
                <w:sz w:val="20"/>
                <w:szCs w:val="20"/>
              </w:rPr>
              <w:t xml:space="preserve"> phages</w:t>
            </w:r>
            <w:r w:rsidR="029892F0" w:rsidRPr="1BCC6B3B">
              <w:rPr>
                <w:rFonts w:ascii="Aptos" w:hAnsi="Aptos" w:cs="Arial"/>
                <w:color w:val="000000" w:themeColor="text1"/>
                <w:sz w:val="20"/>
                <w:szCs w:val="20"/>
              </w:rPr>
              <w:t xml:space="preserve"> in the class</w:t>
            </w:r>
            <w:r w:rsidRPr="1BCC6B3B">
              <w:rPr>
                <w:rFonts w:ascii="Aptos" w:hAnsi="Aptos" w:cs="Arial"/>
                <w:color w:val="000000" w:themeColor="text1"/>
                <w:sz w:val="20"/>
                <w:szCs w:val="20"/>
              </w:rPr>
              <w:t xml:space="preserve"> </w:t>
            </w:r>
            <w:r w:rsidRPr="1BCC6B3B">
              <w:rPr>
                <w:rFonts w:ascii="Aptos" w:hAnsi="Aptos" w:cs="Arial"/>
                <w:i/>
                <w:iCs/>
                <w:color w:val="000000" w:themeColor="text1"/>
                <w:sz w:val="20"/>
                <w:szCs w:val="20"/>
              </w:rPr>
              <w:t>Caudoviricetes</w:t>
            </w:r>
          </w:p>
        </w:tc>
      </w:tr>
      <w:tr w:rsidR="00E37077" w:rsidRPr="00C95FB7" w14:paraId="6479468A" w14:textId="77777777" w:rsidTr="1BCC6B3B">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5A82A977" w:rsidR="00E37077" w:rsidRPr="00AD5A3A" w:rsidRDefault="00B30671" w:rsidP="00DD58AA">
            <w:pPr>
              <w:pStyle w:val="BodyTextIndent"/>
              <w:ind w:left="0" w:firstLine="0"/>
              <w:rPr>
                <w:rFonts w:ascii="Aptos" w:hAnsi="Aptos" w:cs="Arial"/>
                <w:bCs/>
                <w:i/>
                <w:sz w:val="20"/>
              </w:rPr>
            </w:pPr>
            <w:r w:rsidRPr="00EE74CC">
              <w:rPr>
                <w:rFonts w:ascii="Aptos" w:hAnsi="Aptos" w:cs="Arial"/>
                <w:bCs/>
                <w:sz w:val="20"/>
              </w:rPr>
              <w:t>2026.049B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9"/>
        <w:gridCol w:w="1358"/>
        <w:gridCol w:w="2565"/>
        <w:gridCol w:w="2595"/>
        <w:gridCol w:w="1096"/>
      </w:tblGrid>
      <w:tr w:rsidR="002D4340" w14:paraId="46D8D295" w14:textId="4B68158E" w:rsidTr="005A2C7D">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5A2C7D">
        <w:trPr>
          <w:trHeight w:val="411"/>
        </w:trPr>
        <w:tc>
          <w:tcPr>
            <w:tcW w:w="1709"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5A2C7D" w14:paraId="3CAAA21B" w14:textId="77777777" w:rsidTr="005A2C7D">
        <w:tc>
          <w:tcPr>
            <w:tcW w:w="1709" w:type="dxa"/>
            <w:hideMark/>
          </w:tcPr>
          <w:p w14:paraId="1E60D052" w14:textId="77777777" w:rsidR="005A2C7D" w:rsidRDefault="005A2C7D">
            <w:pPr>
              <w:rPr>
                <w:rFonts w:ascii="Aptos" w:hAnsi="Aptos" w:cs="Arial"/>
                <w:bCs/>
                <w:color w:val="000000" w:themeColor="text1"/>
                <w:sz w:val="20"/>
                <w:szCs w:val="20"/>
              </w:rPr>
            </w:pPr>
            <w:r>
              <w:rPr>
                <w:rFonts w:ascii="Aptos" w:hAnsi="Aptos" w:cs="Arial"/>
                <w:bCs/>
                <w:color w:val="000000" w:themeColor="text1"/>
                <w:sz w:val="20"/>
                <w:szCs w:val="20"/>
              </w:rPr>
              <w:t>Ipek</w:t>
            </w:r>
          </w:p>
        </w:tc>
        <w:tc>
          <w:tcPr>
            <w:tcW w:w="1358" w:type="dxa"/>
            <w:hideMark/>
          </w:tcPr>
          <w:p w14:paraId="0324AC5D" w14:textId="77777777" w:rsidR="005A2C7D" w:rsidRDefault="005A2C7D">
            <w:pPr>
              <w:rPr>
                <w:rFonts w:ascii="Aptos" w:hAnsi="Aptos" w:cs="Arial"/>
                <w:bCs/>
                <w:color w:val="000000" w:themeColor="text1"/>
                <w:sz w:val="20"/>
                <w:szCs w:val="20"/>
              </w:rPr>
            </w:pPr>
            <w:r>
              <w:rPr>
                <w:rFonts w:ascii="Aptos" w:hAnsi="Aptos" w:cs="Arial"/>
                <w:bCs/>
                <w:color w:val="000000" w:themeColor="text1"/>
                <w:sz w:val="20"/>
                <w:szCs w:val="20"/>
              </w:rPr>
              <w:t>Kurtböke</w:t>
            </w:r>
          </w:p>
        </w:tc>
        <w:tc>
          <w:tcPr>
            <w:tcW w:w="2565" w:type="dxa"/>
            <w:hideMark/>
          </w:tcPr>
          <w:p w14:paraId="30F525B5" w14:textId="77777777" w:rsidR="005A2C7D" w:rsidRDefault="005A2C7D">
            <w:pPr>
              <w:rPr>
                <w:rFonts w:ascii="Aptos" w:hAnsi="Aptos" w:cs="Arial"/>
                <w:bCs/>
                <w:color w:val="000000" w:themeColor="text1"/>
                <w:sz w:val="20"/>
                <w:szCs w:val="20"/>
              </w:rPr>
            </w:pPr>
            <w:r>
              <w:rPr>
                <w:rFonts w:ascii="Aptos" w:hAnsi="Aptos" w:cs="Arial"/>
                <w:bCs/>
                <w:color w:val="000000" w:themeColor="text1"/>
                <w:sz w:val="20"/>
                <w:szCs w:val="20"/>
              </w:rPr>
              <w:t xml:space="preserve">Environmental Microbiology, University of the Sunshine Coast, </w:t>
            </w:r>
          </w:p>
          <w:p w14:paraId="47B453E4" w14:textId="77777777" w:rsidR="005A2C7D" w:rsidRDefault="005A2C7D">
            <w:pPr>
              <w:rPr>
                <w:rFonts w:ascii="Aptos" w:hAnsi="Aptos" w:cs="Arial"/>
                <w:bCs/>
                <w:color w:val="000000" w:themeColor="text1"/>
                <w:sz w:val="20"/>
                <w:szCs w:val="20"/>
              </w:rPr>
            </w:pPr>
            <w:r>
              <w:rPr>
                <w:rFonts w:ascii="Aptos" w:hAnsi="Aptos" w:cs="Arial"/>
                <w:bCs/>
                <w:color w:val="000000" w:themeColor="text1"/>
                <w:sz w:val="20"/>
                <w:szCs w:val="20"/>
              </w:rPr>
              <w:t xml:space="preserve">School of Science, Technology and Engineering, </w:t>
            </w:r>
          </w:p>
          <w:p w14:paraId="6C033914" w14:textId="77777777" w:rsidR="005A2C7D" w:rsidRDefault="005A2C7D">
            <w:pPr>
              <w:rPr>
                <w:rFonts w:ascii="Aptos" w:hAnsi="Aptos" w:cs="Arial"/>
                <w:bCs/>
                <w:color w:val="000000" w:themeColor="text1"/>
                <w:sz w:val="20"/>
                <w:szCs w:val="20"/>
              </w:rPr>
            </w:pPr>
            <w:r>
              <w:rPr>
                <w:rFonts w:ascii="Aptos" w:hAnsi="Aptos" w:cs="Arial"/>
                <w:bCs/>
                <w:color w:val="000000" w:themeColor="text1"/>
                <w:sz w:val="20"/>
                <w:szCs w:val="20"/>
              </w:rPr>
              <w:t>Maroochydore DC, Australia</w:t>
            </w:r>
          </w:p>
        </w:tc>
        <w:tc>
          <w:tcPr>
            <w:tcW w:w="2595" w:type="dxa"/>
            <w:hideMark/>
          </w:tcPr>
          <w:p w14:paraId="52B199A5" w14:textId="77777777" w:rsidR="005A2C7D" w:rsidRDefault="005A2C7D">
            <w:pPr>
              <w:rPr>
                <w:rFonts w:ascii="Aptos" w:hAnsi="Aptos" w:cs="Arial"/>
                <w:bCs/>
                <w:color w:val="000000" w:themeColor="text1"/>
                <w:sz w:val="20"/>
                <w:szCs w:val="20"/>
              </w:rPr>
            </w:pPr>
            <w:r>
              <w:rPr>
                <w:rFonts w:ascii="Aptos" w:hAnsi="Aptos" w:cs="Arial"/>
                <w:bCs/>
                <w:color w:val="000000" w:themeColor="text1"/>
                <w:sz w:val="20"/>
                <w:szCs w:val="20"/>
              </w:rPr>
              <w:t>IKurtbok@usc.edu.au</w:t>
            </w:r>
          </w:p>
        </w:tc>
        <w:tc>
          <w:tcPr>
            <w:tcW w:w="1096" w:type="dxa"/>
          </w:tcPr>
          <w:p w14:paraId="02601FA5" w14:textId="77777777" w:rsidR="005A2C7D" w:rsidRDefault="005A2C7D">
            <w:pPr>
              <w:jc w:val="center"/>
              <w:rPr>
                <w:rFonts w:ascii="Aptos" w:hAnsi="Aptos" w:cs="Arial"/>
                <w:bCs/>
                <w:color w:val="000000" w:themeColor="text1"/>
                <w:sz w:val="20"/>
                <w:szCs w:val="20"/>
              </w:rPr>
            </w:pPr>
          </w:p>
        </w:tc>
      </w:tr>
      <w:tr w:rsidR="005A2C7D" w14:paraId="6458D492" w14:textId="77777777" w:rsidTr="005A2C7D">
        <w:tc>
          <w:tcPr>
            <w:tcW w:w="1709" w:type="dxa"/>
            <w:hideMark/>
          </w:tcPr>
          <w:p w14:paraId="7919C33E" w14:textId="77777777" w:rsidR="005A2C7D" w:rsidRDefault="005A2C7D">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8" w:type="dxa"/>
            <w:hideMark/>
          </w:tcPr>
          <w:p w14:paraId="6C6425C5" w14:textId="77777777" w:rsidR="005A2C7D" w:rsidRDefault="005A2C7D">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hideMark/>
          </w:tcPr>
          <w:p w14:paraId="5909E755" w14:textId="77777777" w:rsidR="005A2C7D" w:rsidRDefault="005A2C7D">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6BFC8FF4" w14:textId="77777777" w:rsidR="005A2C7D" w:rsidRDefault="005A2C7D">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532B68F1" w14:textId="77777777" w:rsidR="005A2C7D" w:rsidRDefault="005A2C7D">
            <w:pPr>
              <w:rPr>
                <w:rFonts w:ascii="Aptos" w:hAnsi="Aptos" w:cs="Arial"/>
                <w:bCs/>
                <w:color w:val="000000" w:themeColor="text1"/>
                <w:sz w:val="20"/>
                <w:szCs w:val="20"/>
              </w:rPr>
            </w:pPr>
            <w:r>
              <w:rPr>
                <w:rFonts w:ascii="Aptos" w:hAnsi="Aptos" w:cs="Arial"/>
                <w:bCs/>
                <w:color w:val="000000" w:themeColor="text1"/>
                <w:sz w:val="20"/>
                <w:szCs w:val="20"/>
              </w:rPr>
              <w:t>D-45141 Essen,</w:t>
            </w:r>
          </w:p>
          <w:p w14:paraId="4365D592" w14:textId="77777777" w:rsidR="005A2C7D" w:rsidRDefault="005A2C7D">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hideMark/>
          </w:tcPr>
          <w:p w14:paraId="34BF0AB8" w14:textId="77777777" w:rsidR="005A2C7D" w:rsidRDefault="005A2C7D">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6" w:type="dxa"/>
          </w:tcPr>
          <w:p w14:paraId="200B1607" w14:textId="77777777" w:rsidR="005A2C7D" w:rsidRDefault="005A2C7D">
            <w:pPr>
              <w:jc w:val="center"/>
              <w:rPr>
                <w:rFonts w:ascii="Aptos" w:hAnsi="Aptos" w:cs="Arial"/>
                <w:bCs/>
                <w:color w:val="000000" w:themeColor="text1"/>
                <w:sz w:val="20"/>
                <w:szCs w:val="20"/>
              </w:rPr>
            </w:pPr>
          </w:p>
        </w:tc>
      </w:tr>
      <w:tr w:rsidR="005A2C7D" w14:paraId="7EE09539" w14:textId="77777777" w:rsidTr="005A2C7D">
        <w:tc>
          <w:tcPr>
            <w:tcW w:w="1709" w:type="dxa"/>
            <w:hideMark/>
          </w:tcPr>
          <w:p w14:paraId="3EDFD090" w14:textId="77777777" w:rsidR="005A2C7D" w:rsidRDefault="005A2C7D">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8" w:type="dxa"/>
            <w:hideMark/>
          </w:tcPr>
          <w:p w14:paraId="2B50F0E4" w14:textId="77777777" w:rsidR="005A2C7D" w:rsidRDefault="005A2C7D">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hideMark/>
          </w:tcPr>
          <w:p w14:paraId="5B3626BB" w14:textId="77777777" w:rsidR="005A2C7D" w:rsidRDefault="005A2C7D">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5" w:type="dxa"/>
            <w:hideMark/>
          </w:tcPr>
          <w:p w14:paraId="4778ADD9" w14:textId="77777777" w:rsidR="005A2C7D" w:rsidRDefault="005A2C7D">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6" w:type="dxa"/>
            <w:hideMark/>
          </w:tcPr>
          <w:p w14:paraId="7BB23678" w14:textId="77777777" w:rsidR="005A2C7D" w:rsidRDefault="005A2C7D">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7E568192"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548C60B4"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09415D7C"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7FE8FAF6" w:rsidR="0072682D" w:rsidRPr="000C5189" w:rsidRDefault="005A2C7D" w:rsidP="00DD58AA">
            <w:pPr>
              <w:rPr>
                <w:rFonts w:ascii="Aptos" w:hAnsi="Aptos" w:cs="Arial"/>
                <w:sz w:val="20"/>
                <w:szCs w:val="20"/>
              </w:rPr>
            </w:pPr>
            <w:r>
              <w:rPr>
                <w:rFonts w:ascii="Aptos" w:hAnsi="Aptos" w:cs="Arial"/>
                <w:sz w:val="20"/>
                <w:szCs w:val="20"/>
              </w:rPr>
              <w:t>Actinophages</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3069B28C"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3B2CD6F9"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5A2C7D">
              <w:rPr>
                <w:rFonts w:ascii="Aptos" w:hAnsi="Aptos" w:cs="Arial"/>
                <w:bCs/>
                <w:sz w:val="20"/>
                <w:szCs w:val="20"/>
              </w:rPr>
              <w:t>March 24, 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30A351D4"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D58AA">
      <w:pPr>
        <w:ind w:firstLine="720"/>
        <w:rPr>
          <w:rFonts w:ascii="Aptos" w:hAnsi="Aptos" w:cs="Arial"/>
          <w:b/>
          <w:sz w:val="20"/>
          <w:szCs w:val="20"/>
        </w:rPr>
      </w:pPr>
    </w:p>
    <w:p w14:paraId="1E73CFEA" w14:textId="64B2DA00" w:rsidR="00A174CC" w:rsidRPr="009F7856" w:rsidRDefault="00953FFE" w:rsidP="00F74510">
      <w:pPr>
        <w:rPr>
          <w:rFonts w:ascii="Aptos" w:hAnsi="Aptos"/>
          <w:sz w:val="20"/>
          <w:szCs w:val="20"/>
        </w:rPr>
      </w:pPr>
      <w:r>
        <w:rPr>
          <w:rFonts w:ascii="Aptos" w:hAnsi="Aptos" w:cs="Arial"/>
          <w:b/>
          <w:color w:val="000000"/>
          <w:sz w:val="20"/>
          <w:szCs w:val="20"/>
        </w:rPr>
        <w:br w:type="page"/>
      </w:r>
      <w:permStart w:id="702228509" w:edGrp="everyone"/>
      <w:permEnd w:id="702228509"/>
      <w:r w:rsidR="008815EE"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6015C24F"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423FDD95" w:rsidR="00953FFE" w:rsidRDefault="005A2C7D"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1BCC6B3B">
        <w:trPr>
          <w:trHeight w:val="297"/>
        </w:trPr>
        <w:tc>
          <w:tcPr>
            <w:tcW w:w="8926" w:type="dxa"/>
            <w:gridSpan w:val="2"/>
            <w:shd w:val="clear" w:color="auto" w:fill="F2F2F2" w:themeFill="background1" w:themeFillShade="F2"/>
          </w:tcPr>
          <w:p w14:paraId="20EDA6C5" w14:textId="18EB69CE"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1BCC6B3B">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1BCC6B3B">
        <w:trPr>
          <w:trHeight w:val="71"/>
        </w:trPr>
        <w:tc>
          <w:tcPr>
            <w:tcW w:w="2547" w:type="dxa"/>
            <w:vAlign w:val="center"/>
          </w:tcPr>
          <w:p w14:paraId="2B4F2A8D" w14:textId="79B5F596" w:rsidR="00333392" w:rsidRPr="00040CB0" w:rsidRDefault="4EC27846" w:rsidP="1BCC6B3B">
            <w:pPr>
              <w:jc w:val="both"/>
              <w:rPr>
                <w:rFonts w:ascii="Aptos" w:hAnsi="Aptos" w:cs="Arial"/>
                <w:i/>
                <w:iCs/>
                <w:color w:val="000000" w:themeColor="text1"/>
                <w:sz w:val="20"/>
                <w:szCs w:val="20"/>
              </w:rPr>
            </w:pPr>
            <w:r w:rsidRPr="1BCC6B3B">
              <w:rPr>
                <w:rFonts w:ascii="Aptos" w:hAnsi="Aptos" w:cs="Arial"/>
                <w:i/>
                <w:iCs/>
                <w:color w:val="000000" w:themeColor="text1"/>
                <w:sz w:val="20"/>
                <w:szCs w:val="20"/>
              </w:rPr>
              <w:t>Obliviatevirus</w:t>
            </w:r>
          </w:p>
        </w:tc>
        <w:tc>
          <w:tcPr>
            <w:tcW w:w="6379" w:type="dxa"/>
            <w:vAlign w:val="center"/>
          </w:tcPr>
          <w:p w14:paraId="17202B3B" w14:textId="75911D72" w:rsidR="00333392" w:rsidRPr="00040CB0" w:rsidRDefault="4EC27846" w:rsidP="1BCC6B3B">
            <w:pPr>
              <w:jc w:val="both"/>
              <w:rPr>
                <w:rFonts w:ascii="Aptos" w:hAnsi="Aptos" w:cs="Arial"/>
                <w:color w:val="000000" w:themeColor="text1"/>
                <w:sz w:val="20"/>
                <w:szCs w:val="20"/>
              </w:rPr>
            </w:pPr>
            <w:r w:rsidRPr="1BCC6B3B">
              <w:rPr>
                <w:rFonts w:ascii="Aptos" w:hAnsi="Aptos" w:cs="Arial"/>
                <w:color w:val="000000" w:themeColor="text1"/>
                <w:sz w:val="20"/>
                <w:szCs w:val="20"/>
              </w:rPr>
              <w:t>Named after Gordonia phage Obliviate</w:t>
            </w:r>
          </w:p>
        </w:tc>
      </w:tr>
      <w:tr w:rsidR="00333392" w:rsidRPr="009F7856" w14:paraId="7AAF5EF0" w14:textId="77777777" w:rsidTr="1BCC6B3B">
        <w:trPr>
          <w:trHeight w:val="71"/>
        </w:trPr>
        <w:tc>
          <w:tcPr>
            <w:tcW w:w="2547" w:type="dxa"/>
            <w:vAlign w:val="center"/>
          </w:tcPr>
          <w:p w14:paraId="24B2DC76" w14:textId="77777777" w:rsidR="00333392" w:rsidRPr="00040CB0" w:rsidRDefault="00333392" w:rsidP="00040CB0">
            <w:pPr>
              <w:jc w:val="both"/>
              <w:rPr>
                <w:rFonts w:ascii="Aptos" w:hAnsi="Aptos" w:cs="Arial"/>
                <w:b/>
                <w:color w:val="000000" w:themeColor="text1"/>
                <w:sz w:val="20"/>
                <w:szCs w:val="20"/>
              </w:rPr>
            </w:pPr>
          </w:p>
        </w:tc>
        <w:tc>
          <w:tcPr>
            <w:tcW w:w="6379" w:type="dxa"/>
            <w:vAlign w:val="center"/>
          </w:tcPr>
          <w:p w14:paraId="7CC05CA7" w14:textId="77777777" w:rsidR="00333392" w:rsidRPr="00040CB0" w:rsidRDefault="00333392" w:rsidP="00040CB0">
            <w:pPr>
              <w:jc w:val="both"/>
              <w:rPr>
                <w:rFonts w:ascii="Aptos" w:hAnsi="Aptos" w:cs="Arial"/>
                <w:b/>
                <w:color w:val="000000" w:themeColor="text1"/>
                <w:sz w:val="20"/>
                <w:szCs w:val="20"/>
              </w:rPr>
            </w:pPr>
          </w:p>
        </w:tc>
      </w:tr>
      <w:tr w:rsidR="00FC2269" w:rsidRPr="009F7856" w14:paraId="1165141A" w14:textId="77777777" w:rsidTr="1BCC6B3B">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1BCC6B3B">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57F9C561"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2415F08F"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1BCC6B3B">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1BCC6B3B">
        <w:tc>
          <w:tcPr>
            <w:tcW w:w="8926" w:type="dxa"/>
          </w:tcPr>
          <w:p w14:paraId="4FD7E42A" w14:textId="77777777" w:rsidR="00A77B8E" w:rsidRDefault="00A77B8E" w:rsidP="00DD58AA">
            <w:pPr>
              <w:rPr>
                <w:rFonts w:ascii="Aptos" w:hAnsi="Aptos" w:cs="Arial"/>
                <w:b/>
                <w:i/>
                <w:sz w:val="20"/>
                <w:szCs w:val="20"/>
              </w:rPr>
            </w:pPr>
          </w:p>
          <w:p w14:paraId="736D3F5A" w14:textId="2DB80601" w:rsidR="00AC4152" w:rsidRDefault="46EF55D1" w:rsidP="004B151F">
            <w:r w:rsidRPr="1BCC6B3B">
              <w:rPr>
                <w:rFonts w:ascii="Aptos" w:hAnsi="Aptos" w:cs="Arial"/>
                <w:i/>
                <w:iCs/>
                <w:sz w:val="20"/>
                <w:szCs w:val="20"/>
              </w:rPr>
              <w:t>Description of current taxonomy</w:t>
            </w:r>
            <w:r w:rsidRPr="1BCC6B3B">
              <w:rPr>
                <w:rFonts w:ascii="Aptos" w:hAnsi="Aptos" w:cs="Arial"/>
                <w:sz w:val="20"/>
                <w:szCs w:val="20"/>
              </w:rPr>
              <w:t xml:space="preserve">:       </w:t>
            </w:r>
          </w:p>
          <w:p w14:paraId="698F70FC" w14:textId="2E17DB4B" w:rsidR="00AC4152" w:rsidRDefault="249EC301" w:rsidP="004B151F">
            <w:pPr>
              <w:rPr>
                <w:rFonts w:ascii="Aptos" w:hAnsi="Aptos" w:cs="Arial"/>
                <w:sz w:val="20"/>
                <w:szCs w:val="20"/>
              </w:rPr>
            </w:pPr>
            <w:r w:rsidRPr="1BCC6B3B">
              <w:rPr>
                <w:rFonts w:ascii="Aptos" w:hAnsi="Aptos" w:cs="Arial"/>
                <w:sz w:val="20"/>
                <w:szCs w:val="20"/>
              </w:rPr>
              <w:t>The</w:t>
            </w:r>
            <w:r w:rsidR="5B361998" w:rsidRPr="1BCC6B3B">
              <w:rPr>
                <w:rFonts w:ascii="Aptos" w:hAnsi="Aptos" w:cs="Arial"/>
                <w:sz w:val="20"/>
                <w:szCs w:val="20"/>
              </w:rPr>
              <w:t xml:space="preserve"> bacterial viruses described in this proposal are currently unclassified. These viruses</w:t>
            </w:r>
            <w:r w:rsidRPr="1BCC6B3B">
              <w:rPr>
                <w:rFonts w:ascii="Aptos" w:hAnsi="Aptos" w:cs="Arial"/>
                <w:sz w:val="20"/>
                <w:szCs w:val="20"/>
              </w:rPr>
              <w:t xml:space="preserve"> correspond to a group o</w:t>
            </w:r>
            <w:r w:rsidR="00D9FAB6" w:rsidRPr="1BCC6B3B">
              <w:rPr>
                <w:rFonts w:ascii="Aptos" w:hAnsi="Aptos" w:cs="Arial"/>
                <w:sz w:val="20"/>
                <w:szCs w:val="20"/>
              </w:rPr>
              <w:t>f</w:t>
            </w:r>
            <w:r w:rsidRPr="1BCC6B3B">
              <w:rPr>
                <w:rFonts w:ascii="Aptos" w:hAnsi="Aptos" w:cs="Arial"/>
                <w:sz w:val="20"/>
                <w:szCs w:val="20"/>
              </w:rPr>
              <w:t xml:space="preserve"> temperate </w:t>
            </w:r>
            <w:r w:rsidRPr="1BCC6B3B">
              <w:rPr>
                <w:rFonts w:ascii="Aptos" w:hAnsi="Aptos" w:cs="Arial"/>
                <w:i/>
                <w:iCs/>
                <w:sz w:val="20"/>
                <w:szCs w:val="20"/>
              </w:rPr>
              <w:t>Gordonia</w:t>
            </w:r>
            <w:r w:rsidRPr="1BCC6B3B">
              <w:rPr>
                <w:rFonts w:ascii="Aptos" w:hAnsi="Aptos" w:cs="Arial"/>
                <w:sz w:val="20"/>
                <w:szCs w:val="20"/>
              </w:rPr>
              <w:t xml:space="preserve"> siphoviruses </w:t>
            </w:r>
            <w:r w:rsidR="2F73FB6A" w:rsidRPr="1BCC6B3B">
              <w:rPr>
                <w:rFonts w:ascii="Aptos" w:hAnsi="Aptos" w:cs="Arial"/>
                <w:sz w:val="20"/>
                <w:szCs w:val="20"/>
              </w:rPr>
              <w:t xml:space="preserve">that are </w:t>
            </w:r>
            <w:r w:rsidRPr="1BCC6B3B">
              <w:rPr>
                <w:rFonts w:ascii="Aptos" w:hAnsi="Aptos" w:cs="Arial"/>
                <w:sz w:val="20"/>
                <w:szCs w:val="20"/>
              </w:rPr>
              <w:t xml:space="preserve">related to members of the genera </w:t>
            </w:r>
            <w:r w:rsidRPr="1BCC6B3B">
              <w:rPr>
                <w:rFonts w:ascii="Aptos" w:hAnsi="Aptos" w:cs="Arial"/>
                <w:i/>
                <w:iCs/>
                <w:sz w:val="20"/>
                <w:szCs w:val="20"/>
              </w:rPr>
              <w:t>Jujuvirus</w:t>
            </w:r>
            <w:r w:rsidRPr="1BCC6B3B">
              <w:rPr>
                <w:rFonts w:ascii="Aptos" w:hAnsi="Aptos" w:cs="Arial"/>
                <w:sz w:val="20"/>
                <w:szCs w:val="20"/>
              </w:rPr>
              <w:t xml:space="preserve"> and </w:t>
            </w:r>
            <w:r w:rsidRPr="1BCC6B3B">
              <w:rPr>
                <w:rFonts w:ascii="Aptos" w:hAnsi="Aptos" w:cs="Arial"/>
                <w:i/>
                <w:iCs/>
                <w:sz w:val="20"/>
                <w:szCs w:val="20"/>
              </w:rPr>
              <w:t>Fairfaxidumvirus</w:t>
            </w:r>
            <w:r w:rsidRPr="1BCC6B3B">
              <w:rPr>
                <w:rFonts w:ascii="Aptos" w:hAnsi="Aptos" w:cs="Arial"/>
                <w:sz w:val="20"/>
                <w:szCs w:val="20"/>
              </w:rPr>
              <w:t>.</w:t>
            </w:r>
          </w:p>
          <w:p w14:paraId="06D4602F" w14:textId="77777777" w:rsidR="004B151F" w:rsidRDefault="004B151F" w:rsidP="004B151F">
            <w:pPr>
              <w:rPr>
                <w:rFonts w:ascii="Aptos" w:hAnsi="Aptos" w:cs="Arial"/>
                <w:sz w:val="20"/>
                <w:szCs w:val="20"/>
              </w:rPr>
            </w:pPr>
          </w:p>
          <w:p w14:paraId="6A813E12" w14:textId="5339EA24" w:rsidR="004B151F" w:rsidRDefault="46EF55D1" w:rsidP="004B151F">
            <w:r w:rsidRPr="1BCC6B3B">
              <w:rPr>
                <w:rFonts w:ascii="Aptos" w:hAnsi="Aptos" w:cs="Arial"/>
                <w:i/>
                <w:iCs/>
                <w:sz w:val="20"/>
                <w:szCs w:val="20"/>
              </w:rPr>
              <w:t>Proposed</w:t>
            </w:r>
            <w:r w:rsidRPr="1BCC6B3B">
              <w:rPr>
                <w:rFonts w:ascii="Aptos" w:hAnsi="Aptos" w:cs="Arial"/>
                <w:sz w:val="20"/>
                <w:szCs w:val="20"/>
              </w:rPr>
              <w:t xml:space="preserve"> </w:t>
            </w:r>
            <w:r w:rsidRPr="1BCC6B3B">
              <w:rPr>
                <w:rFonts w:ascii="Aptos" w:hAnsi="Aptos" w:cs="Arial"/>
                <w:i/>
                <w:iCs/>
                <w:sz w:val="20"/>
                <w:szCs w:val="20"/>
              </w:rPr>
              <w:t>taxonomic change(s)</w:t>
            </w:r>
            <w:r w:rsidRPr="1BCC6B3B">
              <w:rPr>
                <w:rFonts w:ascii="Aptos" w:hAnsi="Aptos" w:cs="Arial"/>
                <w:sz w:val="20"/>
                <w:szCs w:val="20"/>
              </w:rPr>
              <w:t xml:space="preserve">:     </w:t>
            </w:r>
          </w:p>
          <w:p w14:paraId="1C7AA871" w14:textId="6951FA12" w:rsidR="004B151F" w:rsidRDefault="46EF55D1" w:rsidP="004B151F">
            <w:pPr>
              <w:rPr>
                <w:rFonts w:ascii="Aptos" w:hAnsi="Aptos" w:cs="Arial"/>
                <w:sz w:val="20"/>
                <w:szCs w:val="20"/>
              </w:rPr>
            </w:pPr>
            <w:r w:rsidRPr="1BCC6B3B">
              <w:rPr>
                <w:rFonts w:ascii="Aptos" w:hAnsi="Aptos" w:cs="Arial"/>
                <w:sz w:val="20"/>
                <w:szCs w:val="20"/>
              </w:rPr>
              <w:t xml:space="preserve">We propose to create a new </w:t>
            </w:r>
            <w:r w:rsidR="249EC301" w:rsidRPr="1BCC6B3B">
              <w:rPr>
                <w:rFonts w:ascii="Aptos" w:hAnsi="Aptos" w:cs="Arial"/>
                <w:sz w:val="20"/>
                <w:szCs w:val="20"/>
              </w:rPr>
              <w:t xml:space="preserve">genus </w:t>
            </w:r>
            <w:r w:rsidR="2A09334B" w:rsidRPr="1BCC6B3B">
              <w:rPr>
                <w:rFonts w:ascii="Aptos" w:hAnsi="Aptos" w:cs="Arial"/>
                <w:sz w:val="20"/>
                <w:szCs w:val="20"/>
              </w:rPr>
              <w:t>“</w:t>
            </w:r>
            <w:r w:rsidR="249EC301" w:rsidRPr="1BCC6B3B">
              <w:rPr>
                <w:rFonts w:ascii="Aptos" w:hAnsi="Aptos" w:cs="Arial"/>
                <w:i/>
                <w:iCs/>
                <w:sz w:val="20"/>
                <w:szCs w:val="20"/>
              </w:rPr>
              <w:t>Obliviatevirus</w:t>
            </w:r>
            <w:r w:rsidR="4AF78358" w:rsidRPr="1BCC6B3B">
              <w:rPr>
                <w:rFonts w:ascii="Aptos" w:hAnsi="Aptos" w:cs="Arial"/>
                <w:i/>
                <w:iCs/>
                <w:sz w:val="20"/>
                <w:szCs w:val="20"/>
              </w:rPr>
              <w:t>”</w:t>
            </w:r>
            <w:r w:rsidR="249EC301" w:rsidRPr="1BCC6B3B">
              <w:rPr>
                <w:rFonts w:ascii="Aptos" w:hAnsi="Aptos" w:cs="Arial"/>
                <w:sz w:val="20"/>
                <w:szCs w:val="20"/>
              </w:rPr>
              <w:t xml:space="preserve"> with 25 species</w:t>
            </w:r>
            <w:r w:rsidR="7053D3F2" w:rsidRPr="1BCC6B3B">
              <w:rPr>
                <w:rFonts w:ascii="Aptos" w:hAnsi="Aptos" w:cs="Arial"/>
                <w:sz w:val="20"/>
                <w:szCs w:val="20"/>
              </w:rPr>
              <w:t xml:space="preserve">.  </w:t>
            </w:r>
          </w:p>
          <w:p w14:paraId="05088CCD" w14:textId="733228ED" w:rsidR="1BCC6B3B" w:rsidRDefault="1BCC6B3B" w:rsidP="1BCC6B3B">
            <w:pPr>
              <w:rPr>
                <w:rFonts w:ascii="Aptos" w:hAnsi="Aptos" w:cs="Arial"/>
                <w:i/>
                <w:iCs/>
                <w:sz w:val="20"/>
                <w:szCs w:val="20"/>
              </w:rPr>
            </w:pPr>
          </w:p>
          <w:p w14:paraId="21AABC27" w14:textId="7331C3D9" w:rsidR="004B151F" w:rsidRDefault="46EF55D1" w:rsidP="004B151F">
            <w:pPr>
              <w:rPr>
                <w:rFonts w:ascii="Aptos" w:hAnsi="Aptos" w:cs="Arial"/>
                <w:iCs/>
                <w:sz w:val="20"/>
                <w:szCs w:val="20"/>
              </w:rPr>
            </w:pPr>
            <w:r w:rsidRPr="1BCC6B3B">
              <w:rPr>
                <w:rFonts w:ascii="Aptos" w:hAnsi="Aptos" w:cs="Arial"/>
                <w:i/>
                <w:iCs/>
                <w:sz w:val="20"/>
                <w:szCs w:val="20"/>
              </w:rPr>
              <w:t xml:space="preserve">Demarcation criteria for new taxon/taxa: </w:t>
            </w:r>
          </w:p>
          <w:p w14:paraId="71498784" w14:textId="004885AC" w:rsidR="004B151F" w:rsidRDefault="46EF55D1" w:rsidP="1BCC6B3B">
            <w:pPr>
              <w:spacing w:line="259" w:lineRule="auto"/>
              <w:rPr>
                <w:rFonts w:ascii="Aptos" w:hAnsi="Aptos" w:cs="Arial"/>
                <w:sz w:val="20"/>
                <w:szCs w:val="20"/>
              </w:rPr>
            </w:pPr>
            <w:r w:rsidRPr="1BCC6B3B">
              <w:rPr>
                <w:rFonts w:ascii="Aptos" w:hAnsi="Aptos" w:cs="Arial"/>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r w:rsidR="249EC301" w:rsidRPr="1BCC6B3B">
              <w:rPr>
                <w:rFonts w:ascii="Aptos" w:hAnsi="Aptos" w:cs="Arial"/>
                <w:sz w:val="20"/>
                <w:szCs w:val="20"/>
              </w:rPr>
              <w:t xml:space="preserve">  Because these phages are temperate</w:t>
            </w:r>
            <w:r w:rsidR="7848C5B5" w:rsidRPr="1BCC6B3B">
              <w:rPr>
                <w:rFonts w:ascii="Aptos" w:hAnsi="Aptos" w:cs="Arial"/>
                <w:sz w:val="20"/>
                <w:szCs w:val="20"/>
              </w:rPr>
              <w:t xml:space="preserve"> </w:t>
            </w:r>
            <w:r w:rsidR="3033E034" w:rsidRPr="1BCC6B3B">
              <w:rPr>
                <w:rFonts w:ascii="Aptos" w:hAnsi="Aptos" w:cs="Arial"/>
                <w:sz w:val="20"/>
                <w:szCs w:val="20"/>
              </w:rPr>
              <w:t xml:space="preserve">and </w:t>
            </w:r>
            <w:r w:rsidR="7848C5B5" w:rsidRPr="1BCC6B3B">
              <w:rPr>
                <w:rFonts w:ascii="Aptos" w:hAnsi="Aptos" w:cs="Arial"/>
                <w:sz w:val="20"/>
                <w:szCs w:val="20"/>
              </w:rPr>
              <w:t>show higher rates of recombination</w:t>
            </w:r>
            <w:r w:rsidR="249EC301" w:rsidRPr="1BCC6B3B">
              <w:rPr>
                <w:rFonts w:ascii="Aptos" w:hAnsi="Aptos" w:cs="Arial"/>
                <w:sz w:val="20"/>
                <w:szCs w:val="20"/>
              </w:rPr>
              <w:t xml:space="preserve">, we have been more </w:t>
            </w:r>
            <w:r w:rsidR="5CE6C9E3" w:rsidRPr="1BCC6B3B">
              <w:rPr>
                <w:rFonts w:ascii="Aptos" w:hAnsi="Aptos" w:cs="Arial"/>
                <w:sz w:val="20"/>
                <w:szCs w:val="20"/>
              </w:rPr>
              <w:t>relaxed</w:t>
            </w:r>
            <w:r w:rsidR="249EC301" w:rsidRPr="1BCC6B3B">
              <w:rPr>
                <w:rFonts w:ascii="Aptos" w:hAnsi="Aptos" w:cs="Arial"/>
                <w:sz w:val="20"/>
                <w:szCs w:val="20"/>
              </w:rPr>
              <w:t xml:space="preserve"> in drawing the genus boundaries.</w:t>
            </w:r>
          </w:p>
          <w:p w14:paraId="2CE0C931" w14:textId="77777777" w:rsidR="004B151F" w:rsidRDefault="004B151F" w:rsidP="004B151F">
            <w:pPr>
              <w:rPr>
                <w:rFonts w:ascii="Aptos" w:hAnsi="Aptos" w:cs="Arial"/>
                <w:iCs/>
                <w:sz w:val="20"/>
                <w:szCs w:val="20"/>
              </w:rPr>
            </w:pPr>
          </w:p>
          <w:p w14:paraId="4693288E" w14:textId="477628BD" w:rsidR="004B151F" w:rsidRDefault="46EF55D1" w:rsidP="1BCC6B3B">
            <w:pPr>
              <w:rPr>
                <w:rFonts w:ascii="Aptos" w:hAnsi="Aptos" w:cs="Arial"/>
                <w:sz w:val="20"/>
                <w:szCs w:val="20"/>
              </w:rPr>
            </w:pPr>
            <w:r w:rsidRPr="1BCC6B3B">
              <w:rPr>
                <w:rFonts w:ascii="Aptos" w:hAnsi="Aptos" w:cs="Arial"/>
                <w:sz w:val="20"/>
                <w:szCs w:val="20"/>
              </w:rPr>
              <w:t>Species demarcation criteria: A demarcation value of 95% intergenomic similarity was used to define different species according to intergenomic similarity. Members of the same genus have &gt;95% intergenomic similarity.</w:t>
            </w:r>
          </w:p>
          <w:p w14:paraId="16879B91" w14:textId="77777777" w:rsidR="004B151F" w:rsidRDefault="004B151F" w:rsidP="004B151F">
            <w:pPr>
              <w:rPr>
                <w:rFonts w:ascii="Aptos" w:hAnsi="Aptos" w:cs="Arial"/>
                <w:i/>
                <w:sz w:val="20"/>
                <w:szCs w:val="20"/>
              </w:rPr>
            </w:pPr>
          </w:p>
          <w:p w14:paraId="288E6040" w14:textId="0D349979" w:rsidR="46EF55D1" w:rsidRDefault="46EF55D1">
            <w:r w:rsidRPr="1BCC6B3B">
              <w:rPr>
                <w:rFonts w:ascii="Aptos" w:hAnsi="Aptos" w:cs="Arial"/>
                <w:i/>
                <w:iCs/>
                <w:sz w:val="20"/>
                <w:szCs w:val="20"/>
              </w:rPr>
              <w:t>Justification</w:t>
            </w:r>
            <w:r w:rsidRPr="1BCC6B3B">
              <w:rPr>
                <w:rFonts w:ascii="Aptos" w:hAnsi="Aptos" w:cs="Arial"/>
                <w:sz w:val="20"/>
                <w:szCs w:val="20"/>
              </w:rPr>
              <w:t xml:space="preserve">:      </w:t>
            </w:r>
          </w:p>
          <w:p w14:paraId="7C70CC46" w14:textId="1F75F949" w:rsidR="140DA51A" w:rsidRDefault="140DA51A" w:rsidP="1BCC6B3B">
            <w:pPr>
              <w:rPr>
                <w:rFonts w:ascii="Aptos" w:hAnsi="Aptos" w:cs="Arial"/>
                <w:sz w:val="20"/>
                <w:szCs w:val="20"/>
              </w:rPr>
            </w:pPr>
            <w:r w:rsidRPr="1BCC6B3B">
              <w:rPr>
                <w:rFonts w:ascii="Aptos" w:hAnsi="Aptos" w:cs="Arial"/>
                <w:sz w:val="20"/>
                <w:szCs w:val="20"/>
              </w:rPr>
              <w:t xml:space="preserve">These bacteriophages are temperate viruses that infect </w:t>
            </w:r>
            <w:r w:rsidRPr="1BCC6B3B">
              <w:rPr>
                <w:rFonts w:ascii="Aptos" w:hAnsi="Aptos" w:cs="Arial"/>
                <w:i/>
                <w:iCs/>
                <w:sz w:val="20"/>
                <w:szCs w:val="20"/>
              </w:rPr>
              <w:t>Gordonia</w:t>
            </w:r>
            <w:r w:rsidRPr="1BCC6B3B">
              <w:rPr>
                <w:rFonts w:ascii="Aptos" w:hAnsi="Aptos" w:cs="Arial"/>
                <w:sz w:val="20"/>
                <w:szCs w:val="20"/>
              </w:rPr>
              <w:t xml:space="preserve"> sp.</w:t>
            </w:r>
            <w:r w:rsidR="41801E19" w:rsidRPr="1BCC6B3B">
              <w:rPr>
                <w:rFonts w:ascii="Aptos" w:hAnsi="Aptos" w:cs="Arial"/>
                <w:sz w:val="20"/>
                <w:szCs w:val="20"/>
              </w:rPr>
              <w:t xml:space="preserve"> Analysis of intergenomic nucleotide sequence similarities shows that the 21 proposed species form a single genus that shows approximately 50% similarity to species in the gene</w:t>
            </w:r>
            <w:r w:rsidR="6629B0D0" w:rsidRPr="1BCC6B3B">
              <w:rPr>
                <w:rFonts w:ascii="Aptos" w:hAnsi="Aptos" w:cs="Arial"/>
                <w:sz w:val="20"/>
                <w:szCs w:val="20"/>
              </w:rPr>
              <w:t xml:space="preserve">ra </w:t>
            </w:r>
            <w:r w:rsidRPr="1BCC6B3B">
              <w:rPr>
                <w:rFonts w:ascii="Aptos" w:hAnsi="Aptos" w:cs="Arial"/>
                <w:sz w:val="20"/>
                <w:szCs w:val="20"/>
              </w:rPr>
              <w:t xml:space="preserve"> </w:t>
            </w:r>
            <w:r w:rsidR="2757DA40" w:rsidRPr="1BCC6B3B">
              <w:rPr>
                <w:rFonts w:ascii="Aptos" w:hAnsi="Aptos" w:cs="Arial"/>
                <w:i/>
                <w:iCs/>
                <w:sz w:val="20"/>
                <w:szCs w:val="20"/>
              </w:rPr>
              <w:t xml:space="preserve">Jujuvirus </w:t>
            </w:r>
            <w:r w:rsidR="2757DA40" w:rsidRPr="1BCC6B3B">
              <w:rPr>
                <w:rFonts w:ascii="Aptos" w:hAnsi="Aptos" w:cs="Arial"/>
                <w:sz w:val="20"/>
                <w:szCs w:val="20"/>
              </w:rPr>
              <w:t>and</w:t>
            </w:r>
            <w:r w:rsidR="2757DA40" w:rsidRPr="1BCC6B3B">
              <w:rPr>
                <w:rFonts w:ascii="Aptos" w:hAnsi="Aptos" w:cs="Arial"/>
                <w:i/>
                <w:iCs/>
                <w:sz w:val="20"/>
                <w:szCs w:val="20"/>
              </w:rPr>
              <w:t xml:space="preserve"> Fairfaxidumvirus, </w:t>
            </w:r>
            <w:r w:rsidR="2757DA40" w:rsidRPr="1BCC6B3B">
              <w:rPr>
                <w:rFonts w:ascii="Aptos" w:hAnsi="Aptos" w:cs="Arial"/>
                <w:sz w:val="20"/>
                <w:szCs w:val="20"/>
              </w:rPr>
              <w:t xml:space="preserve">suggesting that these genera could be grouped into a subfamily. The creation of a new genera is also supported by the TBLASTX distance tree and phylogenetic analysis of </w:t>
            </w:r>
            <w:r w:rsidR="74194305" w:rsidRPr="1BCC6B3B">
              <w:rPr>
                <w:rFonts w:ascii="Aptos" w:hAnsi="Aptos" w:cs="Arial"/>
                <w:sz w:val="20"/>
                <w:szCs w:val="20"/>
              </w:rPr>
              <w:t>the large terminase subunit.</w:t>
            </w:r>
          </w:p>
          <w:p w14:paraId="1D5EFBF8" w14:textId="608F4247" w:rsidR="1BCC6B3B" w:rsidRDefault="1BCC6B3B" w:rsidP="1BCC6B3B">
            <w:pPr>
              <w:rPr>
                <w:rFonts w:ascii="Aptos" w:hAnsi="Aptos" w:cs="Arial"/>
                <w:color w:val="0000FF"/>
                <w:sz w:val="20"/>
                <w:szCs w:val="20"/>
              </w:rPr>
            </w:pP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C53E87">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1BCC6B3B">
        <w:tc>
          <w:tcPr>
            <w:tcW w:w="8926" w:type="dxa"/>
            <w:shd w:val="clear" w:color="auto" w:fill="F2F2F2" w:themeFill="background1" w:themeFillShade="F2"/>
          </w:tcPr>
          <w:p w14:paraId="4ECF6668" w14:textId="327ECF9D" w:rsidR="00A77B8E" w:rsidRDefault="00A77B8E" w:rsidP="00C53E87">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1BCC6B3B">
        <w:tc>
          <w:tcPr>
            <w:tcW w:w="8926" w:type="dxa"/>
          </w:tcPr>
          <w:p w14:paraId="49680848" w14:textId="77777777" w:rsidR="00A77B8E" w:rsidRDefault="00A77B8E" w:rsidP="00C53E87">
            <w:pPr>
              <w:rPr>
                <w:rFonts w:ascii="Aptos" w:hAnsi="Aptos" w:cs="Arial"/>
                <w:b/>
                <w:i/>
                <w:sz w:val="20"/>
                <w:szCs w:val="20"/>
              </w:rPr>
            </w:pPr>
          </w:p>
          <w:p w14:paraId="58373F18" w14:textId="2DB80601" w:rsidR="0890C067" w:rsidRDefault="0890C067">
            <w:r w:rsidRPr="1BCC6B3B">
              <w:rPr>
                <w:rFonts w:ascii="Aptos" w:hAnsi="Aptos" w:cs="Arial"/>
                <w:i/>
                <w:iCs/>
                <w:sz w:val="20"/>
                <w:szCs w:val="20"/>
              </w:rPr>
              <w:t>Description of current taxonomy</w:t>
            </w:r>
            <w:r w:rsidRPr="1BCC6B3B">
              <w:rPr>
                <w:rFonts w:ascii="Aptos" w:hAnsi="Aptos" w:cs="Arial"/>
                <w:sz w:val="20"/>
                <w:szCs w:val="20"/>
              </w:rPr>
              <w:t xml:space="preserve">:       </w:t>
            </w:r>
          </w:p>
          <w:p w14:paraId="1479850E" w14:textId="2E17DB4B" w:rsidR="0890C067" w:rsidRDefault="0890C067" w:rsidP="1BCC6B3B">
            <w:pPr>
              <w:rPr>
                <w:rFonts w:ascii="Aptos" w:hAnsi="Aptos" w:cs="Arial"/>
                <w:sz w:val="20"/>
                <w:szCs w:val="20"/>
              </w:rPr>
            </w:pPr>
            <w:r w:rsidRPr="1BCC6B3B">
              <w:rPr>
                <w:rFonts w:ascii="Aptos" w:hAnsi="Aptos" w:cs="Arial"/>
                <w:sz w:val="20"/>
                <w:szCs w:val="20"/>
              </w:rPr>
              <w:t xml:space="preserve">The bacterial viruses described in this proposal are currently unclassified. These viruses correspond to a group of temperate </w:t>
            </w:r>
            <w:r w:rsidRPr="1BCC6B3B">
              <w:rPr>
                <w:rFonts w:ascii="Aptos" w:hAnsi="Aptos" w:cs="Arial"/>
                <w:i/>
                <w:iCs/>
                <w:sz w:val="20"/>
                <w:szCs w:val="20"/>
              </w:rPr>
              <w:t>Gordonia</w:t>
            </w:r>
            <w:r w:rsidRPr="1BCC6B3B">
              <w:rPr>
                <w:rFonts w:ascii="Aptos" w:hAnsi="Aptos" w:cs="Arial"/>
                <w:sz w:val="20"/>
                <w:szCs w:val="20"/>
              </w:rPr>
              <w:t xml:space="preserve"> siphoviruses that are related to members of the genera </w:t>
            </w:r>
            <w:r w:rsidRPr="1BCC6B3B">
              <w:rPr>
                <w:rFonts w:ascii="Aptos" w:hAnsi="Aptos" w:cs="Arial"/>
                <w:i/>
                <w:iCs/>
                <w:sz w:val="20"/>
                <w:szCs w:val="20"/>
              </w:rPr>
              <w:t>Jujuvirus</w:t>
            </w:r>
            <w:r w:rsidRPr="1BCC6B3B">
              <w:rPr>
                <w:rFonts w:ascii="Aptos" w:hAnsi="Aptos" w:cs="Arial"/>
                <w:sz w:val="20"/>
                <w:szCs w:val="20"/>
              </w:rPr>
              <w:t xml:space="preserve"> and </w:t>
            </w:r>
            <w:r w:rsidRPr="1BCC6B3B">
              <w:rPr>
                <w:rFonts w:ascii="Aptos" w:hAnsi="Aptos" w:cs="Arial"/>
                <w:i/>
                <w:iCs/>
                <w:sz w:val="20"/>
                <w:szCs w:val="20"/>
              </w:rPr>
              <w:t>Fairfaxidumvirus</w:t>
            </w:r>
            <w:r w:rsidRPr="1BCC6B3B">
              <w:rPr>
                <w:rFonts w:ascii="Aptos" w:hAnsi="Aptos" w:cs="Arial"/>
                <w:sz w:val="20"/>
                <w:szCs w:val="20"/>
              </w:rPr>
              <w:t>.</w:t>
            </w:r>
          </w:p>
          <w:p w14:paraId="1A003FEE" w14:textId="77777777" w:rsidR="1BCC6B3B" w:rsidRDefault="1BCC6B3B" w:rsidP="1BCC6B3B">
            <w:pPr>
              <w:rPr>
                <w:rFonts w:ascii="Aptos" w:hAnsi="Aptos" w:cs="Arial"/>
                <w:sz w:val="20"/>
                <w:szCs w:val="20"/>
              </w:rPr>
            </w:pPr>
          </w:p>
          <w:p w14:paraId="69081666" w14:textId="5339EA24" w:rsidR="0890C067" w:rsidRDefault="0890C067">
            <w:r w:rsidRPr="1BCC6B3B">
              <w:rPr>
                <w:rFonts w:ascii="Aptos" w:hAnsi="Aptos" w:cs="Arial"/>
                <w:i/>
                <w:iCs/>
                <w:sz w:val="20"/>
                <w:szCs w:val="20"/>
              </w:rPr>
              <w:t>Proposed</w:t>
            </w:r>
            <w:r w:rsidRPr="1BCC6B3B">
              <w:rPr>
                <w:rFonts w:ascii="Aptos" w:hAnsi="Aptos" w:cs="Arial"/>
                <w:sz w:val="20"/>
                <w:szCs w:val="20"/>
              </w:rPr>
              <w:t xml:space="preserve"> </w:t>
            </w:r>
            <w:r w:rsidRPr="1BCC6B3B">
              <w:rPr>
                <w:rFonts w:ascii="Aptos" w:hAnsi="Aptos" w:cs="Arial"/>
                <w:i/>
                <w:iCs/>
                <w:sz w:val="20"/>
                <w:szCs w:val="20"/>
              </w:rPr>
              <w:t>taxonomic change(s)</w:t>
            </w:r>
            <w:r w:rsidRPr="1BCC6B3B">
              <w:rPr>
                <w:rFonts w:ascii="Aptos" w:hAnsi="Aptos" w:cs="Arial"/>
                <w:sz w:val="20"/>
                <w:szCs w:val="20"/>
              </w:rPr>
              <w:t xml:space="preserve">:     </w:t>
            </w:r>
          </w:p>
          <w:p w14:paraId="0D7A5953" w14:textId="501AC9E6" w:rsidR="0890C067" w:rsidRDefault="0890C067" w:rsidP="1BCC6B3B">
            <w:pPr>
              <w:rPr>
                <w:rFonts w:ascii="Aptos" w:hAnsi="Aptos" w:cs="Arial"/>
                <w:sz w:val="20"/>
                <w:szCs w:val="20"/>
              </w:rPr>
            </w:pPr>
            <w:r w:rsidRPr="1BCC6B3B">
              <w:rPr>
                <w:rFonts w:ascii="Aptos" w:hAnsi="Aptos" w:cs="Arial"/>
                <w:sz w:val="20"/>
                <w:szCs w:val="20"/>
              </w:rPr>
              <w:t xml:space="preserve">We propose to create a new genus </w:t>
            </w:r>
            <w:r w:rsidR="42811AD1" w:rsidRPr="1BCC6B3B">
              <w:rPr>
                <w:rFonts w:ascii="Aptos" w:hAnsi="Aptos" w:cs="Arial"/>
                <w:sz w:val="20"/>
                <w:szCs w:val="20"/>
              </w:rPr>
              <w:t>“</w:t>
            </w:r>
            <w:r w:rsidRPr="1BCC6B3B">
              <w:rPr>
                <w:rFonts w:ascii="Aptos" w:hAnsi="Aptos" w:cs="Arial"/>
                <w:i/>
                <w:iCs/>
                <w:sz w:val="20"/>
                <w:szCs w:val="20"/>
              </w:rPr>
              <w:t>Obliviatevirus</w:t>
            </w:r>
            <w:r w:rsidR="15EB2115" w:rsidRPr="1BCC6B3B">
              <w:rPr>
                <w:rFonts w:ascii="Aptos" w:hAnsi="Aptos" w:cs="Arial"/>
                <w:i/>
                <w:iCs/>
                <w:sz w:val="20"/>
                <w:szCs w:val="20"/>
              </w:rPr>
              <w:t>”</w:t>
            </w:r>
            <w:r w:rsidRPr="1BCC6B3B">
              <w:rPr>
                <w:rFonts w:ascii="Aptos" w:hAnsi="Aptos" w:cs="Arial"/>
                <w:sz w:val="20"/>
                <w:szCs w:val="20"/>
              </w:rPr>
              <w:t xml:space="preserve"> with 25</w:t>
            </w:r>
            <w:r w:rsidR="0C02BC10" w:rsidRPr="1BCC6B3B">
              <w:rPr>
                <w:rFonts w:ascii="Aptos" w:hAnsi="Aptos" w:cs="Arial"/>
                <w:sz w:val="20"/>
                <w:szCs w:val="20"/>
              </w:rPr>
              <w:t xml:space="preserve"> new</w:t>
            </w:r>
            <w:r w:rsidRPr="1BCC6B3B">
              <w:rPr>
                <w:rFonts w:ascii="Aptos" w:hAnsi="Aptos" w:cs="Arial"/>
                <w:sz w:val="20"/>
                <w:szCs w:val="20"/>
              </w:rPr>
              <w:t xml:space="preserve"> species.  </w:t>
            </w:r>
          </w:p>
          <w:p w14:paraId="322E29CA" w14:textId="733228ED" w:rsidR="1BCC6B3B" w:rsidRDefault="1BCC6B3B" w:rsidP="1BCC6B3B">
            <w:pPr>
              <w:rPr>
                <w:rFonts w:ascii="Aptos" w:hAnsi="Aptos" w:cs="Arial"/>
                <w:i/>
                <w:iCs/>
                <w:sz w:val="20"/>
                <w:szCs w:val="20"/>
              </w:rPr>
            </w:pPr>
          </w:p>
          <w:p w14:paraId="447F3EDE" w14:textId="7331C3D9" w:rsidR="0890C067" w:rsidRDefault="0890C067" w:rsidP="1BCC6B3B">
            <w:pPr>
              <w:rPr>
                <w:rFonts w:ascii="Aptos" w:hAnsi="Aptos" w:cs="Arial"/>
                <w:sz w:val="20"/>
                <w:szCs w:val="20"/>
              </w:rPr>
            </w:pPr>
            <w:r w:rsidRPr="1BCC6B3B">
              <w:rPr>
                <w:rFonts w:ascii="Aptos" w:hAnsi="Aptos" w:cs="Arial"/>
                <w:i/>
                <w:iCs/>
                <w:sz w:val="20"/>
                <w:szCs w:val="20"/>
              </w:rPr>
              <w:t xml:space="preserve">Demarcation criteria for new taxon/taxa: </w:t>
            </w:r>
          </w:p>
          <w:p w14:paraId="19524945" w14:textId="5808C993" w:rsidR="0890C067" w:rsidRDefault="0890C067" w:rsidP="1BCC6B3B">
            <w:pPr>
              <w:rPr>
                <w:rFonts w:ascii="Aptos" w:hAnsi="Aptos" w:cs="Arial"/>
                <w:sz w:val="20"/>
                <w:szCs w:val="20"/>
              </w:rPr>
            </w:pPr>
            <w:r w:rsidRPr="1BCC6B3B">
              <w:rPr>
                <w:rFonts w:ascii="Aptos" w:hAnsi="Aptos" w:cs="Arial"/>
                <w:sz w:val="20"/>
                <w:szCs w:val="20"/>
              </w:rPr>
              <w:t>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Because these phages are temperate, we have been more liberal in drawing the genus boundaries.</w:t>
            </w:r>
          </w:p>
          <w:p w14:paraId="3CDB0F50" w14:textId="77777777" w:rsidR="1BCC6B3B" w:rsidRDefault="1BCC6B3B" w:rsidP="1BCC6B3B">
            <w:pPr>
              <w:rPr>
                <w:rFonts w:ascii="Aptos" w:hAnsi="Aptos" w:cs="Arial"/>
                <w:sz w:val="20"/>
                <w:szCs w:val="20"/>
              </w:rPr>
            </w:pPr>
          </w:p>
          <w:p w14:paraId="35115740" w14:textId="77777777" w:rsidR="0890C067" w:rsidRDefault="0890C067" w:rsidP="1BCC6B3B">
            <w:pPr>
              <w:rPr>
                <w:rFonts w:ascii="Aptos" w:hAnsi="Aptos" w:cs="Arial"/>
                <w:sz w:val="20"/>
                <w:szCs w:val="20"/>
              </w:rPr>
            </w:pPr>
            <w:r w:rsidRPr="1BCC6B3B">
              <w:rPr>
                <w:rFonts w:ascii="Aptos" w:hAnsi="Aptos" w:cs="Arial"/>
                <w:sz w:val="20"/>
                <w:szCs w:val="20"/>
              </w:rPr>
              <w:t>Species demarcation criteria: A demarcation value of 95% intergenomic similarity was used to define different species according to intergenomic similarity. Members of the same genus have &gt;95% intergenomic similarity [6].</w:t>
            </w:r>
          </w:p>
          <w:p w14:paraId="605E89E9" w14:textId="464EDA52" w:rsidR="1BCC6B3B" w:rsidRDefault="1BCC6B3B" w:rsidP="1BCC6B3B">
            <w:pPr>
              <w:rPr>
                <w:rFonts w:ascii="Aptos" w:hAnsi="Aptos" w:cs="Arial"/>
                <w:sz w:val="20"/>
                <w:szCs w:val="20"/>
              </w:rPr>
            </w:pPr>
          </w:p>
          <w:p w14:paraId="147946A8" w14:textId="77777777" w:rsidR="00E61418" w:rsidRDefault="00E61418" w:rsidP="00C53E87">
            <w:pPr>
              <w:rPr>
                <w:rFonts w:ascii="Aptos" w:hAnsi="Aptos" w:cs="Arial"/>
                <w:i/>
                <w:sz w:val="20"/>
                <w:szCs w:val="20"/>
              </w:rPr>
            </w:pPr>
          </w:p>
          <w:p w14:paraId="0B9854E1" w14:textId="0F4D0E1F" w:rsidR="00E61418" w:rsidRDefault="7053D3F2" w:rsidP="00C53E87">
            <w:r w:rsidRPr="1BCC6B3B">
              <w:rPr>
                <w:rFonts w:ascii="Aptos" w:hAnsi="Aptos" w:cs="Arial"/>
                <w:i/>
                <w:iCs/>
                <w:sz w:val="20"/>
                <w:szCs w:val="20"/>
              </w:rPr>
              <w:t>Justification</w:t>
            </w:r>
            <w:r w:rsidRPr="1BCC6B3B">
              <w:rPr>
                <w:rFonts w:ascii="Aptos" w:hAnsi="Aptos" w:cs="Arial"/>
                <w:sz w:val="20"/>
                <w:szCs w:val="20"/>
              </w:rPr>
              <w:t xml:space="preserve">: </w:t>
            </w:r>
          </w:p>
          <w:p w14:paraId="7AA4183F" w14:textId="6F3EBB60" w:rsidR="72276B7B" w:rsidRDefault="72276B7B" w:rsidP="1BCC6B3B">
            <w:pPr>
              <w:rPr>
                <w:rFonts w:ascii="Aptos" w:hAnsi="Aptos" w:cs="Arial"/>
                <w:sz w:val="20"/>
                <w:szCs w:val="20"/>
              </w:rPr>
            </w:pPr>
            <w:r w:rsidRPr="1BCC6B3B">
              <w:rPr>
                <w:rFonts w:ascii="Aptos" w:hAnsi="Aptos" w:cs="Arial"/>
                <w:sz w:val="20"/>
                <w:szCs w:val="20"/>
              </w:rPr>
              <w:t xml:space="preserve">These bacteriophages are temperate viruses that infect </w:t>
            </w:r>
            <w:r w:rsidRPr="1BCC6B3B">
              <w:rPr>
                <w:rFonts w:ascii="Aptos" w:hAnsi="Aptos" w:cs="Arial"/>
                <w:i/>
                <w:iCs/>
                <w:sz w:val="20"/>
                <w:szCs w:val="20"/>
              </w:rPr>
              <w:t>Gordonia</w:t>
            </w:r>
            <w:r w:rsidRPr="1BCC6B3B">
              <w:rPr>
                <w:rFonts w:ascii="Aptos" w:hAnsi="Aptos" w:cs="Arial"/>
                <w:sz w:val="20"/>
                <w:szCs w:val="20"/>
              </w:rPr>
              <w:t xml:space="preserve"> sp. Analysis of intergenomic nucleotide sequence similarities</w:t>
            </w:r>
            <w:r w:rsidR="3D71D18A" w:rsidRPr="1BCC6B3B">
              <w:rPr>
                <w:rFonts w:ascii="Aptos" w:hAnsi="Aptos" w:cs="Arial"/>
                <w:sz w:val="20"/>
                <w:szCs w:val="20"/>
              </w:rPr>
              <w:t xml:space="preserve"> (Figure 1) [1]</w:t>
            </w:r>
            <w:r w:rsidRPr="1BCC6B3B">
              <w:rPr>
                <w:rFonts w:ascii="Aptos" w:hAnsi="Aptos" w:cs="Arial"/>
                <w:sz w:val="20"/>
                <w:szCs w:val="20"/>
              </w:rPr>
              <w:t xml:space="preserve"> shows that the 21 proposed species form a single genus that shows approximately 50% similarity to species in the genera  </w:t>
            </w:r>
            <w:r w:rsidRPr="1BCC6B3B">
              <w:rPr>
                <w:rFonts w:ascii="Aptos" w:hAnsi="Aptos" w:cs="Arial"/>
                <w:i/>
                <w:iCs/>
                <w:sz w:val="20"/>
                <w:szCs w:val="20"/>
              </w:rPr>
              <w:t xml:space="preserve">Jujuvirus </w:t>
            </w:r>
            <w:r w:rsidRPr="1BCC6B3B">
              <w:rPr>
                <w:rFonts w:ascii="Aptos" w:hAnsi="Aptos" w:cs="Arial"/>
                <w:sz w:val="20"/>
                <w:szCs w:val="20"/>
              </w:rPr>
              <w:t>and</w:t>
            </w:r>
            <w:r w:rsidRPr="1BCC6B3B">
              <w:rPr>
                <w:rFonts w:ascii="Aptos" w:hAnsi="Aptos" w:cs="Arial"/>
                <w:i/>
                <w:iCs/>
                <w:sz w:val="20"/>
                <w:szCs w:val="20"/>
              </w:rPr>
              <w:t xml:space="preserve"> Fairfaxidumvirus, </w:t>
            </w:r>
            <w:r w:rsidRPr="1BCC6B3B">
              <w:rPr>
                <w:rFonts w:ascii="Aptos" w:hAnsi="Aptos" w:cs="Arial"/>
                <w:sz w:val="20"/>
                <w:szCs w:val="20"/>
              </w:rPr>
              <w:t xml:space="preserve">suggesting that these genera could be grouped into a subfamily. The creation of a new genera is also supported by the TBLASTX distance tree </w:t>
            </w:r>
            <w:r w:rsidR="2F0AE1B7" w:rsidRPr="1BCC6B3B">
              <w:rPr>
                <w:rFonts w:ascii="Aptos" w:hAnsi="Aptos" w:cs="Arial"/>
                <w:sz w:val="20"/>
                <w:szCs w:val="20"/>
              </w:rPr>
              <w:t>(Figure 2) [2,3]</w:t>
            </w:r>
            <w:r w:rsidRPr="1BCC6B3B">
              <w:rPr>
                <w:rFonts w:ascii="Aptos" w:hAnsi="Aptos" w:cs="Arial"/>
                <w:sz w:val="20"/>
                <w:szCs w:val="20"/>
              </w:rPr>
              <w:t>and phylogenetic analysis of the large terminase subunit</w:t>
            </w:r>
            <w:r w:rsidR="3F7F54E5" w:rsidRPr="1BCC6B3B">
              <w:rPr>
                <w:rFonts w:ascii="Aptos" w:hAnsi="Aptos" w:cs="Arial"/>
                <w:sz w:val="20"/>
                <w:szCs w:val="20"/>
              </w:rPr>
              <w:t xml:space="preserve"> (Figure 3) [9]</w:t>
            </w:r>
            <w:r w:rsidRPr="1BCC6B3B">
              <w:rPr>
                <w:rFonts w:ascii="Aptos" w:hAnsi="Aptos" w:cs="Arial"/>
                <w:sz w:val="20"/>
                <w:szCs w:val="20"/>
              </w:rPr>
              <w:t>.</w:t>
            </w:r>
          </w:p>
          <w:p w14:paraId="47874D59" w14:textId="473E718D" w:rsidR="1BCC6B3B" w:rsidRDefault="1BCC6B3B" w:rsidP="1BCC6B3B">
            <w:pPr>
              <w:rPr>
                <w:rFonts w:ascii="Aptos" w:hAnsi="Aptos" w:cs="Arial"/>
                <w:sz w:val="20"/>
                <w:szCs w:val="20"/>
              </w:rPr>
            </w:pPr>
          </w:p>
          <w:p w14:paraId="0A2D03BE" w14:textId="77777777" w:rsidR="004B151F" w:rsidRDefault="004B151F" w:rsidP="00C53E87">
            <w:pPr>
              <w:rPr>
                <w:rFonts w:ascii="Aptos" w:hAnsi="Aptos" w:cs="Arial"/>
                <w:i/>
                <w:sz w:val="20"/>
                <w:szCs w:val="20"/>
              </w:rPr>
            </w:pPr>
          </w:p>
          <w:p w14:paraId="79F0111D" w14:textId="0ECDCB45" w:rsidR="00A77B8E" w:rsidRDefault="00A77B8E" w:rsidP="00C53E87">
            <w:pPr>
              <w:rPr>
                <w:rFonts w:ascii="Aptos" w:hAnsi="Aptos" w:cs="Arial"/>
                <w:sz w:val="20"/>
                <w:szCs w:val="20"/>
              </w:rPr>
            </w:pPr>
            <w:r w:rsidRPr="00BE4F5A">
              <w:rPr>
                <w:rFonts w:ascii="Aptos" w:hAnsi="Aptos" w:cs="Arial"/>
                <w:sz w:val="20"/>
                <w:szCs w:val="20"/>
              </w:rPr>
              <w:t xml:space="preserve">  </w:t>
            </w:r>
          </w:p>
          <w:p w14:paraId="07FBC2E1" w14:textId="77777777" w:rsidR="00FC2269" w:rsidRDefault="00FC2269" w:rsidP="00C53E87">
            <w:pPr>
              <w:rPr>
                <w:rFonts w:ascii="Aptos" w:hAnsi="Aptos" w:cs="Arial"/>
                <w:sz w:val="20"/>
                <w:szCs w:val="20"/>
              </w:rPr>
            </w:pPr>
          </w:p>
          <w:p w14:paraId="6439F55D" w14:textId="77777777" w:rsidR="00A77B8E" w:rsidRDefault="00A77B8E" w:rsidP="00C53E87">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C53E87">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53E87">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53E87">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53E87">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53E87">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5DB3071" w14:textId="0F56DEF8" w:rsidR="00C0710C" w:rsidRDefault="00C0710C" w:rsidP="00C53E87">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53E87">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77777777" w:rsidR="00C0710C" w:rsidRDefault="00C0710C" w:rsidP="00C53E87">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5BB82A" w14:textId="6DE5F83C" w:rsidR="00C0710C" w:rsidRDefault="00C0710C" w:rsidP="00C53E87">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12B4EB0B" w14:textId="231090DC" w:rsidR="00C0710C" w:rsidRDefault="00C0710C" w:rsidP="00C53E87">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11D22677" w14:textId="640A2972" w:rsidR="00953FFE" w:rsidRPr="00BE4F5A" w:rsidRDefault="00C0710C" w:rsidP="00C53E87">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7D1B1CCD" w14:textId="7AB76FDB" w:rsidR="00953FFE" w:rsidRPr="00BE4F5A" w:rsidRDefault="00953FFE" w:rsidP="00C53E87">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C53E87">
      <w:pPr>
        <w:rPr>
          <w:rFonts w:ascii="Aptos" w:hAnsi="Aptos" w:cs="Arial"/>
          <w:color w:val="808080" w:themeColor="background1" w:themeShade="80"/>
          <w:sz w:val="20"/>
        </w:rPr>
      </w:pPr>
    </w:p>
    <w:p w14:paraId="38AB2F3E" w14:textId="77777777" w:rsidR="00C321B1" w:rsidRDefault="00C321B1" w:rsidP="00C53E87">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1BCC6B3B">
        <w:trPr>
          <w:trHeight w:val="297"/>
        </w:trPr>
        <w:tc>
          <w:tcPr>
            <w:tcW w:w="8926" w:type="dxa"/>
            <w:gridSpan w:val="2"/>
            <w:shd w:val="clear" w:color="auto" w:fill="F2F2F2" w:themeFill="background1" w:themeFillShade="F2"/>
          </w:tcPr>
          <w:p w14:paraId="0823714E" w14:textId="32C3E69D" w:rsidR="00E92794" w:rsidRPr="00E92794" w:rsidRDefault="00FC2269" w:rsidP="00C53E87">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1BCC6B3B">
        <w:trPr>
          <w:trHeight w:val="73"/>
        </w:trPr>
        <w:tc>
          <w:tcPr>
            <w:tcW w:w="2263" w:type="dxa"/>
          </w:tcPr>
          <w:p w14:paraId="6F1D2BAE" w14:textId="77777777" w:rsidR="00FC2269" w:rsidRPr="00C8775F" w:rsidRDefault="00FC2269" w:rsidP="00C53E87">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C53E87">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1BCC6B3B">
        <w:trPr>
          <w:trHeight w:val="71"/>
        </w:trPr>
        <w:tc>
          <w:tcPr>
            <w:tcW w:w="2263" w:type="dxa"/>
          </w:tcPr>
          <w:p w14:paraId="1EBF10D0" w14:textId="554F60D1" w:rsidR="00FC2269" w:rsidRPr="00CF59EA" w:rsidRDefault="00FC2269" w:rsidP="1BCC6B3B">
            <w:pPr>
              <w:rPr>
                <w:rFonts w:ascii="Aptos" w:hAnsi="Aptos" w:cs="Arial"/>
                <w:b/>
                <w:bCs/>
                <w:sz w:val="20"/>
                <w:szCs w:val="20"/>
              </w:rPr>
            </w:pPr>
          </w:p>
        </w:tc>
        <w:tc>
          <w:tcPr>
            <w:tcW w:w="6663" w:type="dxa"/>
          </w:tcPr>
          <w:p w14:paraId="22F4B256" w14:textId="66C26520" w:rsidR="00FC2269" w:rsidRPr="00CF59EA" w:rsidRDefault="00FC2269" w:rsidP="1BCC6B3B">
            <w:pPr>
              <w:rPr>
                <w:rFonts w:ascii="Aptos" w:hAnsi="Aptos" w:cs="Arial"/>
                <w:b/>
                <w:bCs/>
                <w:sz w:val="20"/>
                <w:szCs w:val="20"/>
              </w:rPr>
            </w:pPr>
          </w:p>
        </w:tc>
      </w:tr>
      <w:tr w:rsidR="00FC2269" w:rsidRPr="009F7856" w14:paraId="1669401A" w14:textId="77777777" w:rsidTr="1BCC6B3B">
        <w:trPr>
          <w:trHeight w:val="71"/>
        </w:trPr>
        <w:tc>
          <w:tcPr>
            <w:tcW w:w="2263" w:type="dxa"/>
          </w:tcPr>
          <w:p w14:paraId="2BBC90EB" w14:textId="77777777" w:rsidR="00FC2269" w:rsidRPr="00CF59EA" w:rsidRDefault="00FC2269" w:rsidP="00C53E87">
            <w:pPr>
              <w:rPr>
                <w:rFonts w:ascii="Aptos" w:hAnsi="Aptos" w:cs="Arial"/>
                <w:b/>
                <w:sz w:val="20"/>
                <w:szCs w:val="20"/>
              </w:rPr>
            </w:pPr>
          </w:p>
        </w:tc>
        <w:tc>
          <w:tcPr>
            <w:tcW w:w="6663" w:type="dxa"/>
          </w:tcPr>
          <w:p w14:paraId="7C103FB7" w14:textId="77777777" w:rsidR="00FC2269" w:rsidRPr="00CF59EA" w:rsidRDefault="00FC2269" w:rsidP="00C53E87">
            <w:pPr>
              <w:rPr>
                <w:rFonts w:ascii="Aptos" w:hAnsi="Aptos" w:cs="Arial"/>
                <w:b/>
                <w:sz w:val="20"/>
                <w:szCs w:val="20"/>
              </w:rPr>
            </w:pPr>
          </w:p>
        </w:tc>
      </w:tr>
    </w:tbl>
    <w:p w14:paraId="58E1BBA6" w14:textId="362BAEC3" w:rsidR="00E92794" w:rsidRDefault="00E92794" w:rsidP="00C53E87"/>
    <w:p w14:paraId="44DC363F" w14:textId="77777777" w:rsidR="00E92794" w:rsidRDefault="00E92794" w:rsidP="00C53E87">
      <w:r>
        <w:br w:type="page"/>
      </w:r>
    </w:p>
    <w:p w14:paraId="684B91F7" w14:textId="77777777" w:rsidR="00FC2269" w:rsidRDefault="00FC2269" w:rsidP="00C53E87"/>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34757759" w:rsidR="006C0F51" w:rsidRPr="006C0F51" w:rsidRDefault="006C0F51" w:rsidP="00C53E87">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C53E87">
      <w:pPr>
        <w:rPr>
          <w:rFonts w:ascii="Aptos" w:hAnsi="Aptos" w:cs="Arial"/>
          <w:color w:val="808080" w:themeColor="background1" w:themeShade="80"/>
          <w:sz w:val="20"/>
        </w:rPr>
      </w:pPr>
    </w:p>
    <w:p w14:paraId="467519FA" w14:textId="563E3C30" w:rsidR="00A95E1E" w:rsidRDefault="00C53390" w:rsidP="00C53E87">
      <w:pPr>
        <w:rPr>
          <w:rFonts w:ascii="Aptos" w:hAnsi="Aptos" w:cs="Arial"/>
          <w:color w:val="808080" w:themeColor="background1" w:themeShade="80"/>
          <w:sz w:val="20"/>
        </w:rPr>
      </w:pPr>
      <w:r>
        <w:rPr>
          <w:rFonts w:ascii="Aptos" w:hAnsi="Aptos" w:cs="Arial"/>
          <w:noProof/>
          <w:color w:val="808080" w:themeColor="background1" w:themeShade="80"/>
          <w:sz w:val="20"/>
        </w:rPr>
        <w:drawing>
          <wp:inline distT="0" distB="0" distL="0" distR="0" wp14:anchorId="2C97F087" wp14:editId="03277C68">
            <wp:extent cx="6000750" cy="2685842"/>
            <wp:effectExtent l="0" t="0" r="0" b="635"/>
            <wp:docPr id="14011249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24973" name="Picture 1401124973"/>
                    <pic:cNvPicPr/>
                  </pic:nvPicPr>
                  <pic:blipFill>
                    <a:blip r:embed="rId10">
                      <a:extLst>
                        <a:ext uri="{28A0092B-C50C-407E-A947-70E740481C1C}">
                          <a14:useLocalDpi xmlns:a14="http://schemas.microsoft.com/office/drawing/2010/main" val="0"/>
                        </a:ext>
                      </a:extLst>
                    </a:blip>
                    <a:stretch>
                      <a:fillRect/>
                    </a:stretch>
                  </pic:blipFill>
                  <pic:spPr>
                    <a:xfrm>
                      <a:off x="0" y="0"/>
                      <a:ext cx="6013331" cy="2691473"/>
                    </a:xfrm>
                    <a:prstGeom prst="rect">
                      <a:avLst/>
                    </a:prstGeom>
                  </pic:spPr>
                </pic:pic>
              </a:graphicData>
            </a:graphic>
          </wp:inline>
        </w:drawing>
      </w:r>
    </w:p>
    <w:p w14:paraId="5F87E384" w14:textId="77777777" w:rsidR="00A95E1E" w:rsidRDefault="00A95E1E" w:rsidP="00C53E87">
      <w:pPr>
        <w:rPr>
          <w:rFonts w:ascii="Aptos" w:hAnsi="Aptos" w:cs="Arial"/>
          <w:color w:val="808080" w:themeColor="background1" w:themeShade="80"/>
          <w:sz w:val="20"/>
        </w:rPr>
      </w:pPr>
    </w:p>
    <w:p w14:paraId="382DE6D1" w14:textId="01D6F9AC" w:rsidR="004B151F" w:rsidRDefault="004B151F" w:rsidP="00C53E87">
      <w:pPr>
        <w:rPr>
          <w:rFonts w:ascii="Aptos" w:hAnsi="Aptos"/>
          <w:b/>
          <w:bCs/>
        </w:rPr>
      </w:pPr>
      <w:r>
        <w:rPr>
          <w:rFonts w:ascii="Aptos" w:hAnsi="Aptos"/>
          <w:b/>
          <w:bCs/>
        </w:rPr>
        <w:t xml:space="preserve">Figure 1. </w:t>
      </w:r>
      <w:r>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Data values which are bordered in black correspond to strains.  </w:t>
      </w:r>
      <w:r w:rsidR="00C53390">
        <w:rPr>
          <w:rFonts w:ascii="Aptos" w:hAnsi="Aptos"/>
        </w:rPr>
        <w:t xml:space="preserve">Phage names  with golden backgrounds are existing species while those highlighted in yellow are new species (exception Obliviate).   </w:t>
      </w:r>
      <w:r>
        <w:rPr>
          <w:rFonts w:ascii="Aptos" w:hAnsi="Aptos"/>
        </w:rPr>
        <w:t xml:space="preserve">Abbreviations: phg = phage; </w:t>
      </w:r>
      <w:r w:rsidR="00A95E1E">
        <w:rPr>
          <w:rFonts w:ascii="Aptos" w:hAnsi="Aptos"/>
        </w:rPr>
        <w:t>Gord</w:t>
      </w:r>
      <w:r>
        <w:rPr>
          <w:rFonts w:ascii="Aptos" w:hAnsi="Aptos"/>
        </w:rPr>
        <w:t xml:space="preserve"> = </w:t>
      </w:r>
      <w:r w:rsidR="00A95E1E">
        <w:rPr>
          <w:rFonts w:ascii="Aptos" w:hAnsi="Aptos"/>
          <w:i/>
          <w:iCs/>
        </w:rPr>
        <w:t>Gordonia</w:t>
      </w:r>
      <w:r>
        <w:rPr>
          <w:rFonts w:ascii="Aptos" w:hAnsi="Aptos"/>
        </w:rPr>
        <w:t>.</w:t>
      </w:r>
      <w:r>
        <w:rPr>
          <w:rFonts w:ascii="Aptos" w:hAnsi="Aptos"/>
          <w:b/>
          <w:bCs/>
        </w:rPr>
        <w:t xml:space="preserve">  </w:t>
      </w:r>
      <w:r>
        <w:rPr>
          <w:rFonts w:ascii="Aptos" w:hAnsi="Aptos"/>
        </w:rPr>
        <w:t>Because this diagram is somewhat difficult to read we have attached the full-sized Excel spread sheet.</w:t>
      </w:r>
    </w:p>
    <w:p w14:paraId="2AEF89EA" w14:textId="63A720AA" w:rsidR="004B151F" w:rsidRPr="00892242" w:rsidRDefault="00A95E1E" w:rsidP="00C53E87">
      <w:pPr>
        <w:rPr>
          <w:rFonts w:ascii="Aptos" w:hAnsi="Aptos"/>
          <w:b/>
          <w:bCs/>
        </w:rPr>
      </w:pPr>
      <w:r>
        <w:rPr>
          <w:rFonts w:ascii="Aptos" w:hAnsi="Aptos"/>
          <w:noProof/>
          <w:color w:val="0070C0"/>
        </w:rPr>
        <w:drawing>
          <wp:inline distT="0" distB="0" distL="0" distR="0" wp14:anchorId="58FAA019" wp14:editId="228D7C93">
            <wp:extent cx="7181850" cy="1460310"/>
            <wp:effectExtent l="0" t="0" r="0" b="6985"/>
            <wp:docPr id="5976941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694165" name="Picture 59769416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312429" cy="1486861"/>
                    </a:xfrm>
                    <a:prstGeom prst="rect">
                      <a:avLst/>
                    </a:prstGeom>
                  </pic:spPr>
                </pic:pic>
              </a:graphicData>
            </a:graphic>
          </wp:inline>
        </w:drawing>
      </w:r>
      <w:r>
        <w:rPr>
          <w:rFonts w:ascii="Aptos" w:hAnsi="Aptos"/>
          <w:noProof/>
          <w:color w:val="0070C0"/>
        </w:rPr>
        <w:drawing>
          <wp:inline distT="0" distB="0" distL="0" distR="0" wp14:anchorId="2A1665EF" wp14:editId="61AC1AD0">
            <wp:extent cx="7182000" cy="3081600"/>
            <wp:effectExtent l="0" t="0" r="0" b="5080"/>
            <wp:docPr id="14144405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440525" name="Picture 141444052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82000" cy="3081600"/>
                    </a:xfrm>
                    <a:prstGeom prst="rect">
                      <a:avLst/>
                    </a:prstGeom>
                  </pic:spPr>
                </pic:pic>
              </a:graphicData>
            </a:graphic>
          </wp:inline>
        </w:drawing>
      </w:r>
      <w:r w:rsidR="004B151F" w:rsidRPr="00892242">
        <w:rPr>
          <w:rFonts w:ascii="Aptos" w:hAnsi="Aptos"/>
          <w:b/>
          <w:bCs/>
        </w:rPr>
        <w:t>Figure 2.</w:t>
      </w:r>
      <w:r w:rsidR="004B151F" w:rsidRPr="00892242">
        <w:rPr>
          <w:rFonts w:ascii="Aptos" w:hAnsi="Aptos"/>
        </w:rPr>
        <w:t xml:space="preserve"> ViPTree analysis:  ViPTree analysis (https://www.genome.jp/viptree/; [2]) is based upon Rohwer and Edwards (2002) Phage Proteomic Tree [3].   The taxons under discussion are indicated with red bars and stars.   Abbreviations: phg = phage; </w:t>
      </w:r>
      <w:r w:rsidR="00892242">
        <w:rPr>
          <w:rFonts w:ascii="Aptos" w:hAnsi="Aptos"/>
        </w:rPr>
        <w:t>Gord</w:t>
      </w:r>
      <w:r w:rsidR="004B151F" w:rsidRPr="00892242">
        <w:rPr>
          <w:rFonts w:ascii="Aptos" w:hAnsi="Aptos"/>
        </w:rPr>
        <w:t xml:space="preserve"> = </w:t>
      </w:r>
      <w:r w:rsidR="00892242">
        <w:rPr>
          <w:rFonts w:ascii="Aptos" w:hAnsi="Aptos"/>
          <w:i/>
          <w:iCs/>
        </w:rPr>
        <w:t>Gordonia</w:t>
      </w:r>
      <w:r w:rsidR="004B151F" w:rsidRPr="00892242">
        <w:rPr>
          <w:rFonts w:ascii="Aptos" w:hAnsi="Aptos"/>
        </w:rPr>
        <w:t>.</w:t>
      </w:r>
      <w:r w:rsidR="004B151F" w:rsidRPr="00892242">
        <w:rPr>
          <w:rFonts w:ascii="Aptos" w:hAnsi="Aptos"/>
          <w:b/>
          <w:bCs/>
        </w:rPr>
        <w:t xml:space="preserve">  </w:t>
      </w:r>
    </w:p>
    <w:p w14:paraId="5FC1E96A" w14:textId="4A948186" w:rsidR="004B151F" w:rsidRDefault="00892242" w:rsidP="00C53E87">
      <w:pPr>
        <w:rPr>
          <w:rFonts w:ascii="Aptos" w:hAnsi="Aptos"/>
        </w:rPr>
      </w:pPr>
      <w:r>
        <w:rPr>
          <w:rFonts w:ascii="Aptos" w:hAnsi="Aptos"/>
          <w:noProof/>
          <w:color w:val="0070C0"/>
        </w:rPr>
        <w:drawing>
          <wp:inline distT="0" distB="0" distL="0" distR="0" wp14:anchorId="21DB6C37" wp14:editId="778F7B3A">
            <wp:extent cx="5992091" cy="3676650"/>
            <wp:effectExtent l="0" t="0" r="0" b="0"/>
            <wp:docPr id="321367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367430" name="Picture 321367430"/>
                    <pic:cNvPicPr/>
                  </pic:nvPicPr>
                  <pic:blipFill rotWithShape="1">
                    <a:blip r:embed="rId13">
                      <a:extLst>
                        <a:ext uri="{28A0092B-C50C-407E-A947-70E740481C1C}">
                          <a14:useLocalDpi xmlns:a14="http://schemas.microsoft.com/office/drawing/2010/main" val="0"/>
                        </a:ext>
                      </a:extLst>
                    </a:blip>
                    <a:srcRect r="11270"/>
                    <a:stretch>
                      <a:fillRect/>
                    </a:stretch>
                  </pic:blipFill>
                  <pic:spPr bwMode="auto">
                    <a:xfrm>
                      <a:off x="0" y="0"/>
                      <a:ext cx="5992091" cy="3676650"/>
                    </a:xfrm>
                    <a:prstGeom prst="rect">
                      <a:avLst/>
                    </a:prstGeom>
                    <a:ln>
                      <a:noFill/>
                    </a:ln>
                    <a:extLst>
                      <a:ext uri="{53640926-AAD7-44D8-BBD7-CCE9431645EC}">
                        <a14:shadowObscured xmlns:a14="http://schemas.microsoft.com/office/drawing/2010/main"/>
                      </a:ext>
                    </a:extLst>
                  </pic:spPr>
                </pic:pic>
              </a:graphicData>
            </a:graphic>
          </wp:inline>
        </w:drawing>
      </w:r>
      <w:r>
        <w:rPr>
          <w:rFonts w:ascii="Aptos" w:hAnsi="Aptos"/>
          <w:noProof/>
          <w:color w:val="0070C0"/>
        </w:rPr>
        <w:drawing>
          <wp:inline distT="0" distB="0" distL="0" distR="0" wp14:anchorId="53D4F8C2" wp14:editId="34AE561E">
            <wp:extent cx="6005946" cy="3429000"/>
            <wp:effectExtent l="0" t="0" r="0" b="0"/>
            <wp:docPr id="18993133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313361" name="Picture 1899313361"/>
                    <pic:cNvPicPr/>
                  </pic:nvPicPr>
                  <pic:blipFill>
                    <a:blip r:embed="rId14">
                      <a:extLst>
                        <a:ext uri="{28A0092B-C50C-407E-A947-70E740481C1C}">
                          <a14:useLocalDpi xmlns:a14="http://schemas.microsoft.com/office/drawing/2010/main" val="0"/>
                        </a:ext>
                      </a:extLst>
                    </a:blip>
                    <a:stretch>
                      <a:fillRect/>
                    </a:stretch>
                  </pic:blipFill>
                  <pic:spPr>
                    <a:xfrm>
                      <a:off x="0" y="0"/>
                      <a:ext cx="6008039" cy="3430195"/>
                    </a:xfrm>
                    <a:prstGeom prst="rect">
                      <a:avLst/>
                    </a:prstGeom>
                  </pic:spPr>
                </pic:pic>
              </a:graphicData>
            </a:graphic>
          </wp:inline>
        </w:drawing>
      </w:r>
      <w:r w:rsidR="004B151F">
        <w:rPr>
          <w:rFonts w:ascii="Aptos" w:hAnsi="Aptos"/>
          <w:b/>
          <w:bCs/>
        </w:rPr>
        <w:t xml:space="preserve">Figure 3.  </w:t>
      </w:r>
      <w:r w:rsidR="004B151F">
        <w:rPr>
          <w:rFonts w:ascii="Aptos" w:hAnsi="Aptos"/>
        </w:rPr>
        <w:t xml:space="preserve">Phylogenetic tree constructed with the large subunit terminase proteins from these and related phages using “One Click” Phylogeny.fr [9] at </w:t>
      </w:r>
      <w:hyperlink r:id="rId15" w:history="1">
        <w:r w:rsidR="004B151F">
          <w:rPr>
            <w:rStyle w:val="Hyperlink"/>
            <w:rFonts w:ascii="Aptos" w:eastAsia="Times" w:hAnsi="Aptos"/>
          </w:rPr>
          <w:t>https://www.phylogeny.fr</w:t>
        </w:r>
      </w:hyperlink>
      <w:r w:rsidR="004B151F">
        <w:rPr>
          <w:rFonts w:ascii="Aptos" w:hAnsi="Aptos"/>
        </w:rPr>
        <w:t xml:space="preserve">  using the TerL protein from </w:t>
      </w:r>
      <w:r>
        <w:rPr>
          <w:rFonts w:ascii="Aptos" w:hAnsi="Aptos"/>
          <w:i/>
          <w:iCs/>
        </w:rPr>
        <w:t>Gordonia</w:t>
      </w:r>
      <w:r w:rsidR="004B151F">
        <w:rPr>
          <w:rFonts w:ascii="Aptos" w:hAnsi="Aptos"/>
        </w:rPr>
        <w:t xml:space="preserve"> phage </w:t>
      </w:r>
      <w:r>
        <w:rPr>
          <w:rFonts w:ascii="Aptos" w:hAnsi="Aptos"/>
        </w:rPr>
        <w:t>Finkle</w:t>
      </w:r>
      <w:r w:rsidR="004B151F">
        <w:rPr>
          <w:rFonts w:ascii="Aptos" w:hAnsi="Aptos"/>
        </w:rPr>
        <w:t xml:space="preserve"> as an outlier</w:t>
      </w:r>
      <w:r>
        <w:rPr>
          <w:rFonts w:ascii="Aptos" w:hAnsi="Aptos"/>
        </w:rPr>
        <w:t xml:space="preserve"> (Left)</w:t>
      </w:r>
      <w:r w:rsidR="004B151F">
        <w:rPr>
          <w:rFonts w:ascii="Aptos" w:hAnsi="Aptos"/>
        </w:rPr>
        <w:t>.</w:t>
      </w:r>
      <w:r>
        <w:rPr>
          <w:rFonts w:ascii="Aptos" w:hAnsi="Aptos"/>
        </w:rPr>
        <w:t xml:space="preserve">  </w:t>
      </w:r>
      <w:r w:rsidR="00C53E87">
        <w:rPr>
          <w:rFonts w:ascii="Aptos" w:hAnsi="Aptos"/>
        </w:rPr>
        <w:t>Below</w:t>
      </w:r>
      <w:r>
        <w:rPr>
          <w:rFonts w:ascii="Aptos" w:hAnsi="Aptos"/>
        </w:rPr>
        <w:t xml:space="preserve"> i</w:t>
      </w:r>
      <w:r w:rsidR="00597876">
        <w:rPr>
          <w:rFonts w:ascii="Aptos" w:hAnsi="Aptos"/>
        </w:rPr>
        <w:t>s</w:t>
      </w:r>
      <w:r>
        <w:rPr>
          <w:rFonts w:ascii="Aptos" w:hAnsi="Aptos"/>
        </w:rPr>
        <w:t xml:space="preserve"> the tree calculated without an outlier.</w:t>
      </w:r>
    </w:p>
    <w:p w14:paraId="7CE43C83" w14:textId="28526FED" w:rsidR="00597876" w:rsidRDefault="00597876" w:rsidP="00C53E87">
      <w:pPr>
        <w:rPr>
          <w:rFonts w:ascii="Aptos" w:hAnsi="Aptos"/>
          <w:color w:val="0070C0"/>
        </w:rPr>
      </w:pPr>
      <w:r w:rsidRPr="00597876">
        <w:rPr>
          <w:rFonts w:ascii="Aptos" w:hAnsi="Aptos"/>
          <w:b/>
          <w:bCs/>
        </w:rPr>
        <w:t>Table 1.</w:t>
      </w:r>
      <w:r w:rsidRPr="00597876">
        <w:rPr>
          <w:rFonts w:ascii="Aptos" w:hAnsi="Aptos"/>
        </w:rPr>
        <w:t xml:space="preserve">  List of species in the new genus </w:t>
      </w:r>
      <w:r w:rsidRPr="00597876">
        <w:rPr>
          <w:rFonts w:ascii="Aptos" w:hAnsi="Aptos"/>
          <w:i/>
          <w:iCs/>
        </w:rPr>
        <w:t>Obliviatevirus</w:t>
      </w:r>
    </w:p>
    <w:tbl>
      <w:tblPr>
        <w:tblW w:w="9341" w:type="dxa"/>
        <w:tblLook w:val="04A0" w:firstRow="1" w:lastRow="0" w:firstColumn="1" w:lastColumn="0" w:noHBand="0" w:noVBand="1"/>
      </w:tblPr>
      <w:tblGrid>
        <w:gridCol w:w="1860"/>
        <w:gridCol w:w="3440"/>
        <w:gridCol w:w="4041"/>
      </w:tblGrid>
      <w:tr w:rsidR="00597876" w14:paraId="4CE8ADCD" w14:textId="77777777" w:rsidTr="00597876">
        <w:trPr>
          <w:trHeight w:val="310"/>
        </w:trPr>
        <w:tc>
          <w:tcPr>
            <w:tcW w:w="1860" w:type="dxa"/>
            <w:tcBorders>
              <w:top w:val="single" w:sz="12" w:space="0" w:color="auto"/>
              <w:left w:val="single" w:sz="12" w:space="0" w:color="auto"/>
              <w:bottom w:val="single" w:sz="12" w:space="0" w:color="auto"/>
              <w:right w:val="single" w:sz="12" w:space="0" w:color="auto"/>
            </w:tcBorders>
            <w:noWrap/>
            <w:vAlign w:val="bottom"/>
            <w:hideMark/>
          </w:tcPr>
          <w:p w14:paraId="094E3083" w14:textId="77777777" w:rsidR="00597876" w:rsidRDefault="00597876" w:rsidP="00C53E87">
            <w:pPr>
              <w:rPr>
                <w:rFonts w:ascii="Aptos Narrow" w:hAnsi="Aptos Narrow"/>
                <w:b/>
                <w:bCs/>
                <w:color w:val="000000"/>
                <w:sz w:val="22"/>
                <w:szCs w:val="22"/>
                <w:lang w:val="en-CA"/>
              </w:rPr>
            </w:pPr>
            <w:r>
              <w:rPr>
                <w:rFonts w:ascii="Aptos Narrow" w:hAnsi="Aptos Narrow"/>
                <w:b/>
                <w:bCs/>
                <w:color w:val="000000"/>
                <w:sz w:val="22"/>
                <w:szCs w:val="22"/>
              </w:rPr>
              <w:t>Accession No.</w:t>
            </w:r>
          </w:p>
        </w:tc>
        <w:tc>
          <w:tcPr>
            <w:tcW w:w="3440" w:type="dxa"/>
            <w:tcBorders>
              <w:top w:val="single" w:sz="12" w:space="0" w:color="auto"/>
              <w:left w:val="nil"/>
              <w:bottom w:val="single" w:sz="12" w:space="0" w:color="auto"/>
              <w:right w:val="single" w:sz="12" w:space="0" w:color="auto"/>
            </w:tcBorders>
            <w:noWrap/>
            <w:vAlign w:val="bottom"/>
            <w:hideMark/>
          </w:tcPr>
          <w:p w14:paraId="17A7CAD6" w14:textId="77777777" w:rsidR="00597876" w:rsidRDefault="00597876" w:rsidP="00C53E87">
            <w:pPr>
              <w:rPr>
                <w:rFonts w:ascii="Aptos Narrow" w:hAnsi="Aptos Narrow"/>
                <w:b/>
                <w:bCs/>
                <w:color w:val="000000"/>
                <w:sz w:val="22"/>
                <w:szCs w:val="22"/>
              </w:rPr>
            </w:pPr>
            <w:r>
              <w:rPr>
                <w:rFonts w:ascii="Aptos Narrow" w:hAnsi="Aptos Narrow"/>
                <w:b/>
                <w:bCs/>
                <w:color w:val="000000"/>
                <w:sz w:val="22"/>
                <w:szCs w:val="22"/>
              </w:rPr>
              <w:t>Phage name</w:t>
            </w:r>
          </w:p>
        </w:tc>
        <w:tc>
          <w:tcPr>
            <w:tcW w:w="4041" w:type="dxa"/>
            <w:tcBorders>
              <w:top w:val="single" w:sz="12" w:space="0" w:color="auto"/>
              <w:left w:val="nil"/>
              <w:bottom w:val="single" w:sz="12" w:space="0" w:color="auto"/>
              <w:right w:val="single" w:sz="12" w:space="0" w:color="auto"/>
            </w:tcBorders>
            <w:noWrap/>
            <w:vAlign w:val="bottom"/>
            <w:hideMark/>
          </w:tcPr>
          <w:p w14:paraId="1B1D44E4" w14:textId="77777777" w:rsidR="00597876" w:rsidRDefault="00597876" w:rsidP="00C53E87">
            <w:pPr>
              <w:rPr>
                <w:rFonts w:ascii="Aptos Narrow" w:hAnsi="Aptos Narrow"/>
                <w:b/>
                <w:bCs/>
                <w:color w:val="000000"/>
                <w:sz w:val="22"/>
                <w:szCs w:val="22"/>
              </w:rPr>
            </w:pPr>
            <w:r>
              <w:rPr>
                <w:rFonts w:ascii="Aptos Narrow" w:hAnsi="Aptos Narrow"/>
                <w:b/>
                <w:bCs/>
                <w:color w:val="000000"/>
                <w:sz w:val="22"/>
                <w:szCs w:val="22"/>
              </w:rPr>
              <w:t>Taxon</w:t>
            </w:r>
          </w:p>
        </w:tc>
      </w:tr>
      <w:tr w:rsidR="00597876" w14:paraId="3E65E2CD"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15607C8C"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ON724008.1</w:t>
            </w:r>
          </w:p>
        </w:tc>
        <w:tc>
          <w:tcPr>
            <w:tcW w:w="3440" w:type="dxa"/>
            <w:tcBorders>
              <w:top w:val="nil"/>
              <w:left w:val="nil"/>
              <w:bottom w:val="single" w:sz="12" w:space="0" w:color="auto"/>
              <w:right w:val="single" w:sz="12" w:space="0" w:color="auto"/>
            </w:tcBorders>
            <w:noWrap/>
            <w:vAlign w:val="bottom"/>
            <w:hideMark/>
          </w:tcPr>
          <w:p w14:paraId="3196CFFE"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Murp</w:t>
            </w:r>
          </w:p>
        </w:tc>
        <w:tc>
          <w:tcPr>
            <w:tcW w:w="4041" w:type="dxa"/>
            <w:tcBorders>
              <w:top w:val="nil"/>
              <w:left w:val="nil"/>
              <w:bottom w:val="single" w:sz="12" w:space="0" w:color="auto"/>
              <w:right w:val="single" w:sz="12" w:space="0" w:color="auto"/>
            </w:tcBorders>
            <w:noWrap/>
            <w:vAlign w:val="bottom"/>
            <w:hideMark/>
          </w:tcPr>
          <w:p w14:paraId="01B6018B"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murp</w:t>
            </w:r>
          </w:p>
        </w:tc>
      </w:tr>
      <w:tr w:rsidR="00597876" w14:paraId="027D03B8"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65BA99E1"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MN585963.1</w:t>
            </w:r>
          </w:p>
        </w:tc>
        <w:tc>
          <w:tcPr>
            <w:tcW w:w="3440" w:type="dxa"/>
            <w:tcBorders>
              <w:top w:val="nil"/>
              <w:left w:val="nil"/>
              <w:bottom w:val="single" w:sz="12" w:space="0" w:color="auto"/>
              <w:right w:val="single" w:sz="12" w:space="0" w:color="auto"/>
            </w:tcBorders>
            <w:noWrap/>
            <w:vAlign w:val="bottom"/>
            <w:hideMark/>
          </w:tcPr>
          <w:p w14:paraId="42AE418D"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Wocket</w:t>
            </w:r>
          </w:p>
        </w:tc>
        <w:tc>
          <w:tcPr>
            <w:tcW w:w="4041" w:type="dxa"/>
            <w:tcBorders>
              <w:top w:val="nil"/>
              <w:left w:val="nil"/>
              <w:bottom w:val="single" w:sz="12" w:space="0" w:color="auto"/>
              <w:right w:val="single" w:sz="12" w:space="0" w:color="auto"/>
            </w:tcBorders>
            <w:noWrap/>
            <w:vAlign w:val="bottom"/>
            <w:hideMark/>
          </w:tcPr>
          <w:p w14:paraId="32159EE2"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wocket</w:t>
            </w:r>
          </w:p>
        </w:tc>
      </w:tr>
      <w:tr w:rsidR="00597876" w14:paraId="41B1BCAD"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1104657D"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ON970567.1</w:t>
            </w:r>
          </w:p>
        </w:tc>
        <w:tc>
          <w:tcPr>
            <w:tcW w:w="3440" w:type="dxa"/>
            <w:tcBorders>
              <w:top w:val="nil"/>
              <w:left w:val="nil"/>
              <w:bottom w:val="single" w:sz="12" w:space="0" w:color="auto"/>
              <w:right w:val="single" w:sz="12" w:space="0" w:color="auto"/>
            </w:tcBorders>
            <w:noWrap/>
            <w:vAlign w:val="bottom"/>
            <w:hideMark/>
          </w:tcPr>
          <w:p w14:paraId="70B6365D"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KappaFarmDelta</w:t>
            </w:r>
          </w:p>
        </w:tc>
        <w:tc>
          <w:tcPr>
            <w:tcW w:w="4041" w:type="dxa"/>
            <w:tcBorders>
              <w:top w:val="nil"/>
              <w:left w:val="nil"/>
              <w:bottom w:val="single" w:sz="12" w:space="0" w:color="auto"/>
              <w:right w:val="single" w:sz="12" w:space="0" w:color="auto"/>
            </w:tcBorders>
            <w:noWrap/>
            <w:vAlign w:val="bottom"/>
            <w:hideMark/>
          </w:tcPr>
          <w:p w14:paraId="19508958"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kappafarmdelta</w:t>
            </w:r>
          </w:p>
        </w:tc>
      </w:tr>
      <w:tr w:rsidR="00597876" w14:paraId="3207D766"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5AA00C2B"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MK919470.1</w:t>
            </w:r>
          </w:p>
        </w:tc>
        <w:tc>
          <w:tcPr>
            <w:tcW w:w="3440" w:type="dxa"/>
            <w:tcBorders>
              <w:top w:val="nil"/>
              <w:left w:val="nil"/>
              <w:bottom w:val="single" w:sz="12" w:space="0" w:color="auto"/>
              <w:right w:val="single" w:sz="12" w:space="0" w:color="auto"/>
            </w:tcBorders>
            <w:noWrap/>
            <w:vAlign w:val="bottom"/>
            <w:hideMark/>
          </w:tcPr>
          <w:p w14:paraId="48FFA6DC"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Mellie</w:t>
            </w:r>
          </w:p>
        </w:tc>
        <w:tc>
          <w:tcPr>
            <w:tcW w:w="4041" w:type="dxa"/>
            <w:tcBorders>
              <w:top w:val="nil"/>
              <w:left w:val="nil"/>
              <w:bottom w:val="single" w:sz="12" w:space="0" w:color="auto"/>
              <w:right w:val="single" w:sz="12" w:space="0" w:color="auto"/>
            </w:tcBorders>
            <w:noWrap/>
            <w:vAlign w:val="bottom"/>
            <w:hideMark/>
          </w:tcPr>
          <w:p w14:paraId="12B12C94"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mellie</w:t>
            </w:r>
          </w:p>
        </w:tc>
      </w:tr>
      <w:tr w:rsidR="00597876" w14:paraId="34852168"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71DF2F48"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KU998248.1</w:t>
            </w:r>
          </w:p>
        </w:tc>
        <w:tc>
          <w:tcPr>
            <w:tcW w:w="3440" w:type="dxa"/>
            <w:tcBorders>
              <w:top w:val="nil"/>
              <w:left w:val="nil"/>
              <w:bottom w:val="single" w:sz="12" w:space="0" w:color="auto"/>
              <w:right w:val="single" w:sz="12" w:space="0" w:color="auto"/>
            </w:tcBorders>
            <w:noWrap/>
            <w:vAlign w:val="bottom"/>
            <w:hideMark/>
          </w:tcPr>
          <w:p w14:paraId="1A25C516"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Utz</w:t>
            </w:r>
          </w:p>
        </w:tc>
        <w:tc>
          <w:tcPr>
            <w:tcW w:w="4041" w:type="dxa"/>
            <w:tcBorders>
              <w:top w:val="nil"/>
              <w:left w:val="nil"/>
              <w:bottom w:val="single" w:sz="12" w:space="0" w:color="auto"/>
              <w:right w:val="single" w:sz="12" w:space="0" w:color="auto"/>
            </w:tcBorders>
            <w:noWrap/>
            <w:vAlign w:val="bottom"/>
            <w:hideMark/>
          </w:tcPr>
          <w:p w14:paraId="36068E12"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utz</w:t>
            </w:r>
          </w:p>
        </w:tc>
      </w:tr>
      <w:tr w:rsidR="00597876" w14:paraId="504F7717"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725F5697"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MK878896.1</w:t>
            </w:r>
          </w:p>
        </w:tc>
        <w:tc>
          <w:tcPr>
            <w:tcW w:w="3440" w:type="dxa"/>
            <w:tcBorders>
              <w:top w:val="nil"/>
              <w:left w:val="nil"/>
              <w:bottom w:val="single" w:sz="12" w:space="0" w:color="auto"/>
              <w:right w:val="single" w:sz="12" w:space="0" w:color="auto"/>
            </w:tcBorders>
            <w:noWrap/>
            <w:vAlign w:val="bottom"/>
            <w:hideMark/>
          </w:tcPr>
          <w:p w14:paraId="4E89C774"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Begonia</w:t>
            </w:r>
          </w:p>
        </w:tc>
        <w:tc>
          <w:tcPr>
            <w:tcW w:w="4041" w:type="dxa"/>
            <w:tcBorders>
              <w:top w:val="nil"/>
              <w:left w:val="nil"/>
              <w:bottom w:val="single" w:sz="12" w:space="0" w:color="auto"/>
              <w:right w:val="single" w:sz="12" w:space="0" w:color="auto"/>
            </w:tcBorders>
            <w:noWrap/>
            <w:vAlign w:val="bottom"/>
            <w:hideMark/>
          </w:tcPr>
          <w:p w14:paraId="16B59CDD"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begonia</w:t>
            </w:r>
          </w:p>
        </w:tc>
      </w:tr>
      <w:tr w:rsidR="00597876" w14:paraId="40C8900F"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13989F06"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ON724011.1</w:t>
            </w:r>
          </w:p>
        </w:tc>
        <w:tc>
          <w:tcPr>
            <w:tcW w:w="3440" w:type="dxa"/>
            <w:tcBorders>
              <w:top w:val="nil"/>
              <w:left w:val="nil"/>
              <w:bottom w:val="single" w:sz="12" w:space="0" w:color="auto"/>
              <w:right w:val="single" w:sz="12" w:space="0" w:color="auto"/>
            </w:tcBorders>
            <w:noWrap/>
            <w:vAlign w:val="bottom"/>
            <w:hideMark/>
          </w:tcPr>
          <w:p w14:paraId="611971B5"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Malachai</w:t>
            </w:r>
          </w:p>
        </w:tc>
        <w:tc>
          <w:tcPr>
            <w:tcW w:w="4041" w:type="dxa"/>
            <w:tcBorders>
              <w:top w:val="nil"/>
              <w:left w:val="nil"/>
              <w:bottom w:val="single" w:sz="12" w:space="0" w:color="auto"/>
              <w:right w:val="single" w:sz="12" w:space="0" w:color="auto"/>
            </w:tcBorders>
            <w:noWrap/>
            <w:vAlign w:val="bottom"/>
            <w:hideMark/>
          </w:tcPr>
          <w:p w14:paraId="282C265D"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malachai</w:t>
            </w:r>
          </w:p>
        </w:tc>
      </w:tr>
      <w:tr w:rsidR="00597876" w14:paraId="5FA4800D"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694B53DB"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MN096365.1</w:t>
            </w:r>
          </w:p>
        </w:tc>
        <w:tc>
          <w:tcPr>
            <w:tcW w:w="3440" w:type="dxa"/>
            <w:tcBorders>
              <w:top w:val="nil"/>
              <w:left w:val="nil"/>
              <w:bottom w:val="single" w:sz="12" w:space="0" w:color="auto"/>
              <w:right w:val="single" w:sz="12" w:space="0" w:color="auto"/>
            </w:tcBorders>
            <w:noWrap/>
            <w:vAlign w:val="bottom"/>
            <w:hideMark/>
          </w:tcPr>
          <w:p w14:paraId="09DCF28C"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Samba</w:t>
            </w:r>
          </w:p>
        </w:tc>
        <w:tc>
          <w:tcPr>
            <w:tcW w:w="4041" w:type="dxa"/>
            <w:tcBorders>
              <w:top w:val="nil"/>
              <w:left w:val="nil"/>
              <w:bottom w:val="single" w:sz="12" w:space="0" w:color="auto"/>
              <w:right w:val="single" w:sz="12" w:space="0" w:color="auto"/>
            </w:tcBorders>
            <w:noWrap/>
            <w:vAlign w:val="bottom"/>
            <w:hideMark/>
          </w:tcPr>
          <w:p w14:paraId="7C518D3E"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samba</w:t>
            </w:r>
          </w:p>
        </w:tc>
      </w:tr>
      <w:tr w:rsidR="00597876" w14:paraId="6CB316DF"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44D16EBB"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MW601225.1</w:t>
            </w:r>
          </w:p>
        </w:tc>
        <w:tc>
          <w:tcPr>
            <w:tcW w:w="3440" w:type="dxa"/>
            <w:tcBorders>
              <w:top w:val="nil"/>
              <w:left w:val="nil"/>
              <w:bottom w:val="single" w:sz="12" w:space="0" w:color="auto"/>
              <w:right w:val="single" w:sz="12" w:space="0" w:color="auto"/>
            </w:tcBorders>
            <w:noWrap/>
            <w:vAlign w:val="bottom"/>
            <w:hideMark/>
          </w:tcPr>
          <w:p w14:paraId="3191C703"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ZiggyZoo</w:t>
            </w:r>
          </w:p>
        </w:tc>
        <w:tc>
          <w:tcPr>
            <w:tcW w:w="4041" w:type="dxa"/>
            <w:tcBorders>
              <w:top w:val="nil"/>
              <w:left w:val="nil"/>
              <w:bottom w:val="single" w:sz="12" w:space="0" w:color="auto"/>
              <w:right w:val="single" w:sz="12" w:space="0" w:color="auto"/>
            </w:tcBorders>
            <w:noWrap/>
            <w:vAlign w:val="bottom"/>
            <w:hideMark/>
          </w:tcPr>
          <w:p w14:paraId="408C9814"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ziggyzoo</w:t>
            </w:r>
          </w:p>
        </w:tc>
      </w:tr>
      <w:tr w:rsidR="00597876" w14:paraId="0FEE540C"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2D816086"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MF919521.1</w:t>
            </w:r>
          </w:p>
        </w:tc>
        <w:tc>
          <w:tcPr>
            <w:tcW w:w="3440" w:type="dxa"/>
            <w:tcBorders>
              <w:top w:val="nil"/>
              <w:left w:val="nil"/>
              <w:bottom w:val="single" w:sz="12" w:space="0" w:color="auto"/>
              <w:right w:val="single" w:sz="12" w:space="0" w:color="auto"/>
            </w:tcBorders>
            <w:noWrap/>
            <w:vAlign w:val="bottom"/>
            <w:hideMark/>
          </w:tcPr>
          <w:p w14:paraId="5760C3BA"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Lysidious</w:t>
            </w:r>
          </w:p>
        </w:tc>
        <w:tc>
          <w:tcPr>
            <w:tcW w:w="4041" w:type="dxa"/>
            <w:tcBorders>
              <w:top w:val="nil"/>
              <w:left w:val="nil"/>
              <w:bottom w:val="single" w:sz="12" w:space="0" w:color="auto"/>
              <w:right w:val="single" w:sz="12" w:space="0" w:color="auto"/>
            </w:tcBorders>
            <w:noWrap/>
            <w:vAlign w:val="bottom"/>
            <w:hideMark/>
          </w:tcPr>
          <w:p w14:paraId="3641A89D"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lysidious</w:t>
            </w:r>
          </w:p>
        </w:tc>
      </w:tr>
      <w:tr w:rsidR="00597876" w14:paraId="67802CFD"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451B0F00"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MH020241.1</w:t>
            </w:r>
          </w:p>
        </w:tc>
        <w:tc>
          <w:tcPr>
            <w:tcW w:w="3440" w:type="dxa"/>
            <w:tcBorders>
              <w:top w:val="nil"/>
              <w:left w:val="nil"/>
              <w:bottom w:val="single" w:sz="12" w:space="0" w:color="auto"/>
              <w:right w:val="single" w:sz="12" w:space="0" w:color="auto"/>
            </w:tcBorders>
            <w:noWrap/>
            <w:vAlign w:val="bottom"/>
            <w:hideMark/>
          </w:tcPr>
          <w:p w14:paraId="3A1B4725"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Fenry</w:t>
            </w:r>
          </w:p>
        </w:tc>
        <w:tc>
          <w:tcPr>
            <w:tcW w:w="4041" w:type="dxa"/>
            <w:tcBorders>
              <w:top w:val="nil"/>
              <w:left w:val="nil"/>
              <w:bottom w:val="single" w:sz="12" w:space="0" w:color="auto"/>
              <w:right w:val="single" w:sz="12" w:space="0" w:color="auto"/>
            </w:tcBorders>
            <w:noWrap/>
            <w:vAlign w:val="bottom"/>
            <w:hideMark/>
          </w:tcPr>
          <w:p w14:paraId="43852F9B"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fenry</w:t>
            </w:r>
          </w:p>
        </w:tc>
      </w:tr>
      <w:tr w:rsidR="00597876" w14:paraId="3C762D81"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3B4AE464"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MZ150785.1</w:t>
            </w:r>
          </w:p>
        </w:tc>
        <w:tc>
          <w:tcPr>
            <w:tcW w:w="3440" w:type="dxa"/>
            <w:tcBorders>
              <w:top w:val="nil"/>
              <w:left w:val="nil"/>
              <w:bottom w:val="single" w:sz="12" w:space="0" w:color="auto"/>
              <w:right w:val="single" w:sz="12" w:space="0" w:color="auto"/>
            </w:tcBorders>
            <w:noWrap/>
            <w:vAlign w:val="bottom"/>
            <w:hideMark/>
          </w:tcPr>
          <w:p w14:paraId="43289B2E"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Jalammah</w:t>
            </w:r>
          </w:p>
        </w:tc>
        <w:tc>
          <w:tcPr>
            <w:tcW w:w="4041" w:type="dxa"/>
            <w:tcBorders>
              <w:top w:val="nil"/>
              <w:left w:val="nil"/>
              <w:bottom w:val="single" w:sz="12" w:space="0" w:color="auto"/>
              <w:right w:val="single" w:sz="12" w:space="0" w:color="auto"/>
            </w:tcBorders>
            <w:noWrap/>
            <w:vAlign w:val="bottom"/>
            <w:hideMark/>
          </w:tcPr>
          <w:p w14:paraId="07D61F29"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jalammah</w:t>
            </w:r>
          </w:p>
        </w:tc>
      </w:tr>
      <w:tr w:rsidR="00597876" w14:paraId="492F778E"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1CBC7DE4"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KU963259.1</w:t>
            </w:r>
          </w:p>
        </w:tc>
        <w:tc>
          <w:tcPr>
            <w:tcW w:w="3440" w:type="dxa"/>
            <w:tcBorders>
              <w:top w:val="nil"/>
              <w:left w:val="nil"/>
              <w:bottom w:val="single" w:sz="12" w:space="0" w:color="auto"/>
              <w:right w:val="single" w:sz="12" w:space="0" w:color="auto"/>
            </w:tcBorders>
            <w:noWrap/>
            <w:vAlign w:val="bottom"/>
            <w:hideMark/>
          </w:tcPr>
          <w:p w14:paraId="06364702"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Guacamole</w:t>
            </w:r>
          </w:p>
        </w:tc>
        <w:tc>
          <w:tcPr>
            <w:tcW w:w="4041" w:type="dxa"/>
            <w:tcBorders>
              <w:top w:val="nil"/>
              <w:left w:val="nil"/>
              <w:bottom w:val="single" w:sz="12" w:space="0" w:color="auto"/>
              <w:right w:val="single" w:sz="12" w:space="0" w:color="auto"/>
            </w:tcBorders>
            <w:noWrap/>
            <w:vAlign w:val="bottom"/>
            <w:hideMark/>
          </w:tcPr>
          <w:p w14:paraId="6B4ECD86"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guacamole</w:t>
            </w:r>
          </w:p>
        </w:tc>
      </w:tr>
      <w:tr w:rsidR="00597876" w14:paraId="2B8EAE73"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3D0A4F63"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MT723936.1</w:t>
            </w:r>
          </w:p>
        </w:tc>
        <w:tc>
          <w:tcPr>
            <w:tcW w:w="3440" w:type="dxa"/>
            <w:tcBorders>
              <w:top w:val="nil"/>
              <w:left w:val="nil"/>
              <w:bottom w:val="single" w:sz="12" w:space="0" w:color="auto"/>
              <w:right w:val="single" w:sz="12" w:space="0" w:color="auto"/>
            </w:tcBorders>
            <w:noWrap/>
            <w:vAlign w:val="bottom"/>
            <w:hideMark/>
          </w:tcPr>
          <w:p w14:paraId="4F9469C6"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Hitter</w:t>
            </w:r>
          </w:p>
        </w:tc>
        <w:tc>
          <w:tcPr>
            <w:tcW w:w="4041" w:type="dxa"/>
            <w:tcBorders>
              <w:top w:val="nil"/>
              <w:left w:val="nil"/>
              <w:bottom w:val="single" w:sz="12" w:space="0" w:color="auto"/>
              <w:right w:val="single" w:sz="12" w:space="0" w:color="auto"/>
            </w:tcBorders>
            <w:noWrap/>
            <w:vAlign w:val="bottom"/>
            <w:hideMark/>
          </w:tcPr>
          <w:p w14:paraId="0BAA9E7C"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hitter</w:t>
            </w:r>
          </w:p>
        </w:tc>
      </w:tr>
      <w:tr w:rsidR="00597876" w14:paraId="3527DCBA"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1BC73C7C"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MT723942.1</w:t>
            </w:r>
          </w:p>
        </w:tc>
        <w:tc>
          <w:tcPr>
            <w:tcW w:w="3440" w:type="dxa"/>
            <w:tcBorders>
              <w:top w:val="nil"/>
              <w:left w:val="nil"/>
              <w:bottom w:val="single" w:sz="12" w:space="0" w:color="auto"/>
              <w:right w:val="single" w:sz="12" w:space="0" w:color="auto"/>
            </w:tcBorders>
            <w:noWrap/>
            <w:vAlign w:val="bottom"/>
            <w:hideMark/>
          </w:tcPr>
          <w:p w14:paraId="45681832"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Archis</w:t>
            </w:r>
          </w:p>
        </w:tc>
        <w:tc>
          <w:tcPr>
            <w:tcW w:w="4041" w:type="dxa"/>
            <w:tcBorders>
              <w:top w:val="nil"/>
              <w:left w:val="nil"/>
              <w:bottom w:val="single" w:sz="12" w:space="0" w:color="auto"/>
              <w:right w:val="single" w:sz="12" w:space="0" w:color="auto"/>
            </w:tcBorders>
            <w:noWrap/>
            <w:vAlign w:val="bottom"/>
            <w:hideMark/>
          </w:tcPr>
          <w:p w14:paraId="45750404"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archis</w:t>
            </w:r>
          </w:p>
        </w:tc>
      </w:tr>
      <w:tr w:rsidR="00597876" w14:paraId="0440B0E7"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554BAC27"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MK501730.1</w:t>
            </w:r>
          </w:p>
        </w:tc>
        <w:tc>
          <w:tcPr>
            <w:tcW w:w="3440" w:type="dxa"/>
            <w:tcBorders>
              <w:top w:val="nil"/>
              <w:left w:val="nil"/>
              <w:bottom w:val="single" w:sz="12" w:space="0" w:color="auto"/>
              <w:right w:val="single" w:sz="12" w:space="0" w:color="auto"/>
            </w:tcBorders>
            <w:noWrap/>
            <w:vAlign w:val="bottom"/>
            <w:hideMark/>
          </w:tcPr>
          <w:p w14:paraId="5318332D"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Barco</w:t>
            </w:r>
          </w:p>
        </w:tc>
        <w:tc>
          <w:tcPr>
            <w:tcW w:w="4041" w:type="dxa"/>
            <w:tcBorders>
              <w:top w:val="nil"/>
              <w:left w:val="nil"/>
              <w:bottom w:val="single" w:sz="12" w:space="0" w:color="auto"/>
              <w:right w:val="single" w:sz="12" w:space="0" w:color="auto"/>
            </w:tcBorders>
            <w:noWrap/>
            <w:vAlign w:val="bottom"/>
            <w:hideMark/>
          </w:tcPr>
          <w:p w14:paraId="62702B79"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barco</w:t>
            </w:r>
          </w:p>
        </w:tc>
      </w:tr>
      <w:tr w:rsidR="00597876" w14:paraId="1A32F12D"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40CF4FA1"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MT553336.1</w:t>
            </w:r>
          </w:p>
        </w:tc>
        <w:tc>
          <w:tcPr>
            <w:tcW w:w="3440" w:type="dxa"/>
            <w:tcBorders>
              <w:top w:val="nil"/>
              <w:left w:val="nil"/>
              <w:bottom w:val="single" w:sz="12" w:space="0" w:color="auto"/>
              <w:right w:val="single" w:sz="12" w:space="0" w:color="auto"/>
            </w:tcBorders>
            <w:noWrap/>
            <w:vAlign w:val="bottom"/>
            <w:hideMark/>
          </w:tcPr>
          <w:p w14:paraId="6C2EB8CA"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BlingBling</w:t>
            </w:r>
          </w:p>
        </w:tc>
        <w:tc>
          <w:tcPr>
            <w:tcW w:w="4041" w:type="dxa"/>
            <w:tcBorders>
              <w:top w:val="nil"/>
              <w:left w:val="nil"/>
              <w:bottom w:val="single" w:sz="12" w:space="0" w:color="auto"/>
              <w:right w:val="single" w:sz="12" w:space="0" w:color="auto"/>
            </w:tcBorders>
            <w:noWrap/>
            <w:vAlign w:val="bottom"/>
            <w:hideMark/>
          </w:tcPr>
          <w:p w14:paraId="57740D66"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blingbling</w:t>
            </w:r>
          </w:p>
        </w:tc>
      </w:tr>
      <w:tr w:rsidR="00597876" w14:paraId="3BE1E473"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2F5B0D23"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MK864263.1</w:t>
            </w:r>
          </w:p>
        </w:tc>
        <w:tc>
          <w:tcPr>
            <w:tcW w:w="3440" w:type="dxa"/>
            <w:tcBorders>
              <w:top w:val="nil"/>
              <w:left w:val="nil"/>
              <w:bottom w:val="single" w:sz="12" w:space="0" w:color="auto"/>
              <w:right w:val="single" w:sz="12" w:space="0" w:color="auto"/>
            </w:tcBorders>
            <w:noWrap/>
            <w:vAlign w:val="bottom"/>
            <w:hideMark/>
          </w:tcPr>
          <w:p w14:paraId="5313BD9F"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Melba</w:t>
            </w:r>
          </w:p>
        </w:tc>
        <w:tc>
          <w:tcPr>
            <w:tcW w:w="4041" w:type="dxa"/>
            <w:tcBorders>
              <w:top w:val="nil"/>
              <w:left w:val="nil"/>
              <w:bottom w:val="single" w:sz="12" w:space="0" w:color="auto"/>
              <w:right w:val="single" w:sz="12" w:space="0" w:color="auto"/>
            </w:tcBorders>
            <w:noWrap/>
            <w:vAlign w:val="bottom"/>
            <w:hideMark/>
          </w:tcPr>
          <w:p w14:paraId="375E68A9"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melba</w:t>
            </w:r>
          </w:p>
        </w:tc>
      </w:tr>
      <w:tr w:rsidR="00597876" w14:paraId="063C3608"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6405ED70"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MH576969.1</w:t>
            </w:r>
          </w:p>
        </w:tc>
        <w:tc>
          <w:tcPr>
            <w:tcW w:w="3440" w:type="dxa"/>
            <w:tcBorders>
              <w:top w:val="nil"/>
              <w:left w:val="nil"/>
              <w:bottom w:val="single" w:sz="12" w:space="0" w:color="auto"/>
              <w:right w:val="single" w:sz="12" w:space="0" w:color="auto"/>
            </w:tcBorders>
            <w:noWrap/>
            <w:vAlign w:val="bottom"/>
            <w:hideMark/>
          </w:tcPr>
          <w:p w14:paraId="5272BD79"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Zarbodnamra</w:t>
            </w:r>
          </w:p>
        </w:tc>
        <w:tc>
          <w:tcPr>
            <w:tcW w:w="4041" w:type="dxa"/>
            <w:tcBorders>
              <w:top w:val="nil"/>
              <w:left w:val="nil"/>
              <w:bottom w:val="single" w:sz="12" w:space="0" w:color="auto"/>
              <w:right w:val="single" w:sz="12" w:space="0" w:color="auto"/>
            </w:tcBorders>
            <w:noWrap/>
            <w:vAlign w:val="bottom"/>
            <w:hideMark/>
          </w:tcPr>
          <w:p w14:paraId="16DBB85B"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zarbodnamra</w:t>
            </w:r>
          </w:p>
        </w:tc>
      </w:tr>
      <w:tr w:rsidR="00597876" w14:paraId="72A38C71"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4EF18282"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MN010762.1</w:t>
            </w:r>
          </w:p>
        </w:tc>
        <w:tc>
          <w:tcPr>
            <w:tcW w:w="3440" w:type="dxa"/>
            <w:tcBorders>
              <w:top w:val="nil"/>
              <w:left w:val="nil"/>
              <w:bottom w:val="single" w:sz="12" w:space="0" w:color="auto"/>
              <w:right w:val="single" w:sz="12" w:space="0" w:color="auto"/>
            </w:tcBorders>
            <w:noWrap/>
            <w:vAlign w:val="bottom"/>
            <w:hideMark/>
          </w:tcPr>
          <w:p w14:paraId="22289882"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MintFen</w:t>
            </w:r>
          </w:p>
        </w:tc>
        <w:tc>
          <w:tcPr>
            <w:tcW w:w="4041" w:type="dxa"/>
            <w:tcBorders>
              <w:top w:val="nil"/>
              <w:left w:val="nil"/>
              <w:bottom w:val="single" w:sz="12" w:space="0" w:color="auto"/>
              <w:right w:val="single" w:sz="12" w:space="0" w:color="auto"/>
            </w:tcBorders>
            <w:noWrap/>
            <w:vAlign w:val="bottom"/>
            <w:hideMark/>
          </w:tcPr>
          <w:p w14:paraId="0A6F808E"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mintfen</w:t>
            </w:r>
          </w:p>
        </w:tc>
      </w:tr>
      <w:tr w:rsidR="00597876" w14:paraId="469F3826"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074FC87C"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KX557274.1</w:t>
            </w:r>
          </w:p>
        </w:tc>
        <w:tc>
          <w:tcPr>
            <w:tcW w:w="3440" w:type="dxa"/>
            <w:tcBorders>
              <w:top w:val="nil"/>
              <w:left w:val="nil"/>
              <w:bottom w:val="single" w:sz="12" w:space="0" w:color="auto"/>
              <w:right w:val="single" w:sz="12" w:space="0" w:color="auto"/>
            </w:tcBorders>
            <w:noWrap/>
            <w:vAlign w:val="bottom"/>
            <w:hideMark/>
          </w:tcPr>
          <w:p w14:paraId="1ACAF339"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CaptainKirk2</w:t>
            </w:r>
          </w:p>
        </w:tc>
        <w:tc>
          <w:tcPr>
            <w:tcW w:w="4041" w:type="dxa"/>
            <w:tcBorders>
              <w:top w:val="nil"/>
              <w:left w:val="nil"/>
              <w:bottom w:val="single" w:sz="12" w:space="0" w:color="auto"/>
              <w:right w:val="single" w:sz="12" w:space="0" w:color="auto"/>
            </w:tcBorders>
            <w:noWrap/>
            <w:vAlign w:val="bottom"/>
            <w:hideMark/>
          </w:tcPr>
          <w:p w14:paraId="76E191B1"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captainkirk2</w:t>
            </w:r>
          </w:p>
        </w:tc>
      </w:tr>
      <w:tr w:rsidR="00597876" w14:paraId="3CE6BB2C"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6539E597"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MK801724.1</w:t>
            </w:r>
          </w:p>
        </w:tc>
        <w:tc>
          <w:tcPr>
            <w:tcW w:w="3440" w:type="dxa"/>
            <w:tcBorders>
              <w:top w:val="nil"/>
              <w:left w:val="nil"/>
              <w:bottom w:val="single" w:sz="12" w:space="0" w:color="auto"/>
              <w:right w:val="single" w:sz="12" w:space="0" w:color="auto"/>
            </w:tcBorders>
            <w:noWrap/>
            <w:vAlign w:val="bottom"/>
            <w:hideMark/>
          </w:tcPr>
          <w:p w14:paraId="7929BF3F"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PhrostedPhlake</w:t>
            </w:r>
          </w:p>
        </w:tc>
        <w:tc>
          <w:tcPr>
            <w:tcW w:w="4041" w:type="dxa"/>
            <w:tcBorders>
              <w:top w:val="nil"/>
              <w:left w:val="nil"/>
              <w:bottom w:val="single" w:sz="12" w:space="0" w:color="auto"/>
              <w:right w:val="single" w:sz="12" w:space="0" w:color="auto"/>
            </w:tcBorders>
            <w:noWrap/>
            <w:vAlign w:val="bottom"/>
            <w:hideMark/>
          </w:tcPr>
          <w:p w14:paraId="519ADB95"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phrostedphlake</w:t>
            </w:r>
          </w:p>
        </w:tc>
      </w:tr>
      <w:tr w:rsidR="00597876" w14:paraId="6AAB0C41"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7AA74ADE"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KU963251.1</w:t>
            </w:r>
          </w:p>
        </w:tc>
        <w:tc>
          <w:tcPr>
            <w:tcW w:w="3440" w:type="dxa"/>
            <w:tcBorders>
              <w:top w:val="nil"/>
              <w:left w:val="nil"/>
              <w:bottom w:val="single" w:sz="12" w:space="0" w:color="auto"/>
              <w:right w:val="single" w:sz="12" w:space="0" w:color="auto"/>
            </w:tcBorders>
            <w:noWrap/>
            <w:vAlign w:val="bottom"/>
            <w:hideMark/>
          </w:tcPr>
          <w:p w14:paraId="7EF01637"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UmaThurman</w:t>
            </w:r>
          </w:p>
        </w:tc>
        <w:tc>
          <w:tcPr>
            <w:tcW w:w="4041" w:type="dxa"/>
            <w:tcBorders>
              <w:top w:val="nil"/>
              <w:left w:val="nil"/>
              <w:bottom w:val="single" w:sz="12" w:space="0" w:color="auto"/>
              <w:right w:val="single" w:sz="12" w:space="0" w:color="auto"/>
            </w:tcBorders>
            <w:noWrap/>
            <w:vAlign w:val="bottom"/>
            <w:hideMark/>
          </w:tcPr>
          <w:p w14:paraId="5B9127A7" w14:textId="28DFE4CB"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Thurman (*)</w:t>
            </w:r>
          </w:p>
        </w:tc>
      </w:tr>
      <w:tr w:rsidR="00597876" w14:paraId="2B226B86"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3F020A9B"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MN234179.1</w:t>
            </w:r>
          </w:p>
        </w:tc>
        <w:tc>
          <w:tcPr>
            <w:tcW w:w="3440" w:type="dxa"/>
            <w:tcBorders>
              <w:top w:val="nil"/>
              <w:left w:val="nil"/>
              <w:bottom w:val="single" w:sz="12" w:space="0" w:color="auto"/>
              <w:right w:val="single" w:sz="12" w:space="0" w:color="auto"/>
            </w:tcBorders>
            <w:noWrap/>
            <w:vAlign w:val="bottom"/>
            <w:hideMark/>
          </w:tcPr>
          <w:p w14:paraId="4C5DB2DA"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Pipp</w:t>
            </w:r>
          </w:p>
        </w:tc>
        <w:tc>
          <w:tcPr>
            <w:tcW w:w="4041" w:type="dxa"/>
            <w:tcBorders>
              <w:top w:val="nil"/>
              <w:left w:val="nil"/>
              <w:bottom w:val="single" w:sz="12" w:space="0" w:color="auto"/>
              <w:right w:val="single" w:sz="12" w:space="0" w:color="auto"/>
            </w:tcBorders>
            <w:noWrap/>
            <w:vAlign w:val="bottom"/>
            <w:hideMark/>
          </w:tcPr>
          <w:p w14:paraId="41A3272B"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pipp</w:t>
            </w:r>
          </w:p>
        </w:tc>
      </w:tr>
      <w:tr w:rsidR="00597876" w14:paraId="0725AB50" w14:textId="77777777" w:rsidTr="00597876">
        <w:trPr>
          <w:trHeight w:val="310"/>
        </w:trPr>
        <w:tc>
          <w:tcPr>
            <w:tcW w:w="1860" w:type="dxa"/>
            <w:tcBorders>
              <w:top w:val="nil"/>
              <w:left w:val="single" w:sz="12" w:space="0" w:color="auto"/>
              <w:bottom w:val="single" w:sz="12" w:space="0" w:color="auto"/>
              <w:right w:val="single" w:sz="12" w:space="0" w:color="auto"/>
            </w:tcBorders>
            <w:noWrap/>
            <w:vAlign w:val="bottom"/>
            <w:hideMark/>
          </w:tcPr>
          <w:p w14:paraId="6283B16B"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KU963254.1</w:t>
            </w:r>
          </w:p>
        </w:tc>
        <w:tc>
          <w:tcPr>
            <w:tcW w:w="3440" w:type="dxa"/>
            <w:tcBorders>
              <w:top w:val="nil"/>
              <w:left w:val="nil"/>
              <w:bottom w:val="single" w:sz="12" w:space="0" w:color="auto"/>
              <w:right w:val="single" w:sz="12" w:space="0" w:color="auto"/>
            </w:tcBorders>
            <w:noWrap/>
            <w:vAlign w:val="bottom"/>
            <w:hideMark/>
          </w:tcPr>
          <w:p w14:paraId="713A497C" w14:textId="77777777" w:rsidR="00597876" w:rsidRDefault="00597876" w:rsidP="00C53E87">
            <w:pPr>
              <w:rPr>
                <w:rFonts w:ascii="Aptos Narrow" w:hAnsi="Aptos Narrow"/>
                <w:color w:val="000000"/>
                <w:sz w:val="22"/>
                <w:szCs w:val="22"/>
              </w:rPr>
            </w:pPr>
            <w:r>
              <w:rPr>
                <w:rFonts w:ascii="Aptos Narrow" w:hAnsi="Aptos Narrow"/>
                <w:color w:val="000000"/>
                <w:sz w:val="22"/>
                <w:szCs w:val="22"/>
              </w:rPr>
              <w:t>Gordonia phage Obliviate</w:t>
            </w:r>
          </w:p>
        </w:tc>
        <w:tc>
          <w:tcPr>
            <w:tcW w:w="4041" w:type="dxa"/>
            <w:tcBorders>
              <w:top w:val="nil"/>
              <w:left w:val="nil"/>
              <w:bottom w:val="single" w:sz="12" w:space="0" w:color="auto"/>
              <w:right w:val="single" w:sz="12" w:space="0" w:color="auto"/>
            </w:tcBorders>
            <w:noWrap/>
            <w:vAlign w:val="bottom"/>
            <w:hideMark/>
          </w:tcPr>
          <w:p w14:paraId="6421FE4D" w14:textId="77777777" w:rsidR="00597876" w:rsidRDefault="00597876" w:rsidP="00C53E87">
            <w:pPr>
              <w:rPr>
                <w:rFonts w:ascii="Aptos Narrow" w:hAnsi="Aptos Narrow"/>
                <w:i/>
                <w:iCs/>
                <w:color w:val="000000"/>
                <w:sz w:val="22"/>
                <w:szCs w:val="22"/>
              </w:rPr>
            </w:pPr>
            <w:r>
              <w:rPr>
                <w:rFonts w:ascii="Aptos Narrow" w:hAnsi="Aptos Narrow"/>
                <w:i/>
                <w:iCs/>
                <w:color w:val="000000"/>
                <w:sz w:val="22"/>
                <w:szCs w:val="22"/>
              </w:rPr>
              <w:t>Obliviatevirus obliviate</w:t>
            </w:r>
          </w:p>
        </w:tc>
      </w:tr>
    </w:tbl>
    <w:p w14:paraId="1EBEB546" w14:textId="27BE3DA7" w:rsidR="00597876" w:rsidRPr="00597876" w:rsidRDefault="00597876" w:rsidP="00C53E87">
      <w:pPr>
        <w:rPr>
          <w:rFonts w:ascii="Aptos" w:hAnsi="Aptos"/>
          <w:b/>
          <w:bCs/>
        </w:rPr>
      </w:pPr>
      <w:r w:rsidRPr="00597876">
        <w:rPr>
          <w:rFonts w:ascii="Aptos" w:hAnsi="Aptos"/>
          <w:b/>
          <w:bCs/>
        </w:rPr>
        <w:t>(*) Taxon renamed because the phage was named after a living person</w:t>
      </w:r>
    </w:p>
    <w:sectPr w:rsidR="00597876" w:rsidRPr="00597876" w:rsidSect="00A82FBB">
      <w:headerReference w:type="default" r:id="rId16"/>
      <w:footerReference w:type="default" r:id="rId17"/>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3C5FE" w14:textId="77777777" w:rsidR="00810D90" w:rsidRDefault="00810D90">
      <w:r>
        <w:separator/>
      </w:r>
    </w:p>
  </w:endnote>
  <w:endnote w:type="continuationSeparator" w:id="0">
    <w:p w14:paraId="318443F1" w14:textId="77777777" w:rsidR="00810D90" w:rsidRDefault="00810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557A9" w14:textId="77777777" w:rsidR="00810D90" w:rsidRDefault="00810D90">
      <w:r>
        <w:separator/>
      </w:r>
    </w:p>
  </w:footnote>
  <w:footnote w:type="continuationSeparator" w:id="0">
    <w:p w14:paraId="38C5706F" w14:textId="77777777" w:rsidR="00810D90" w:rsidRDefault="00810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7BF9"/>
    <w:rsid w:val="00023385"/>
    <w:rsid w:val="00035A87"/>
    <w:rsid w:val="000406E1"/>
    <w:rsid w:val="00040CB0"/>
    <w:rsid w:val="0004176B"/>
    <w:rsid w:val="000449DB"/>
    <w:rsid w:val="0008012E"/>
    <w:rsid w:val="000A146A"/>
    <w:rsid w:val="000A7027"/>
    <w:rsid w:val="000B1BF3"/>
    <w:rsid w:val="000B5D78"/>
    <w:rsid w:val="000B6878"/>
    <w:rsid w:val="000D182E"/>
    <w:rsid w:val="000E54FF"/>
    <w:rsid w:val="000F51F4"/>
    <w:rsid w:val="000F7067"/>
    <w:rsid w:val="00106232"/>
    <w:rsid w:val="0011008F"/>
    <w:rsid w:val="00114D9E"/>
    <w:rsid w:val="00117C72"/>
    <w:rsid w:val="0013113D"/>
    <w:rsid w:val="001322FC"/>
    <w:rsid w:val="00171083"/>
    <w:rsid w:val="00172351"/>
    <w:rsid w:val="001975F5"/>
    <w:rsid w:val="001D0007"/>
    <w:rsid w:val="001D3E3E"/>
    <w:rsid w:val="00200C33"/>
    <w:rsid w:val="00220A26"/>
    <w:rsid w:val="002312CE"/>
    <w:rsid w:val="0023149A"/>
    <w:rsid w:val="0023696B"/>
    <w:rsid w:val="0024086E"/>
    <w:rsid w:val="0025498B"/>
    <w:rsid w:val="00273642"/>
    <w:rsid w:val="00296DA3"/>
    <w:rsid w:val="002A5A83"/>
    <w:rsid w:val="002D4340"/>
    <w:rsid w:val="00327E73"/>
    <w:rsid w:val="00333392"/>
    <w:rsid w:val="00355CE0"/>
    <w:rsid w:val="00363A30"/>
    <w:rsid w:val="0037243A"/>
    <w:rsid w:val="00382C24"/>
    <w:rsid w:val="00382FE8"/>
    <w:rsid w:val="00383BBF"/>
    <w:rsid w:val="0038593F"/>
    <w:rsid w:val="003A166F"/>
    <w:rsid w:val="003A18C5"/>
    <w:rsid w:val="003A5ED7"/>
    <w:rsid w:val="003B0883"/>
    <w:rsid w:val="003B3832"/>
    <w:rsid w:val="003C5428"/>
    <w:rsid w:val="003E0AEA"/>
    <w:rsid w:val="003F2A97"/>
    <w:rsid w:val="0043110C"/>
    <w:rsid w:val="00437970"/>
    <w:rsid w:val="00471256"/>
    <w:rsid w:val="004B151F"/>
    <w:rsid w:val="004F2F1E"/>
    <w:rsid w:val="004F3196"/>
    <w:rsid w:val="00536426"/>
    <w:rsid w:val="00543F86"/>
    <w:rsid w:val="0055461D"/>
    <w:rsid w:val="0058465A"/>
    <w:rsid w:val="00590DF3"/>
    <w:rsid w:val="00597876"/>
    <w:rsid w:val="005A2C7D"/>
    <w:rsid w:val="005A54C3"/>
    <w:rsid w:val="005B4C7D"/>
    <w:rsid w:val="006043FB"/>
    <w:rsid w:val="00607227"/>
    <w:rsid w:val="006109F7"/>
    <w:rsid w:val="00647814"/>
    <w:rsid w:val="0067795B"/>
    <w:rsid w:val="00683D0C"/>
    <w:rsid w:val="0069192D"/>
    <w:rsid w:val="006B7AB8"/>
    <w:rsid w:val="006C0F51"/>
    <w:rsid w:val="006D18F6"/>
    <w:rsid w:val="006D428E"/>
    <w:rsid w:val="006F33B7"/>
    <w:rsid w:val="00723577"/>
    <w:rsid w:val="0072682D"/>
    <w:rsid w:val="00736440"/>
    <w:rsid w:val="00737875"/>
    <w:rsid w:val="00740A3F"/>
    <w:rsid w:val="00741880"/>
    <w:rsid w:val="0077701D"/>
    <w:rsid w:val="007B0F70"/>
    <w:rsid w:val="007B6511"/>
    <w:rsid w:val="007E0EF5"/>
    <w:rsid w:val="007E3FAE"/>
    <w:rsid w:val="007E667B"/>
    <w:rsid w:val="007F631A"/>
    <w:rsid w:val="00810D90"/>
    <w:rsid w:val="00822B3A"/>
    <w:rsid w:val="00824208"/>
    <w:rsid w:val="008308A0"/>
    <w:rsid w:val="00852D43"/>
    <w:rsid w:val="00865726"/>
    <w:rsid w:val="008815EE"/>
    <w:rsid w:val="00883A5C"/>
    <w:rsid w:val="00892242"/>
    <w:rsid w:val="008A22E9"/>
    <w:rsid w:val="008B43B1"/>
    <w:rsid w:val="008F51E2"/>
    <w:rsid w:val="00901EBC"/>
    <w:rsid w:val="00903048"/>
    <w:rsid w:val="009078FF"/>
    <w:rsid w:val="009457C8"/>
    <w:rsid w:val="00953FFE"/>
    <w:rsid w:val="00964F7C"/>
    <w:rsid w:val="009703AF"/>
    <w:rsid w:val="009711EF"/>
    <w:rsid w:val="00974174"/>
    <w:rsid w:val="009741D1"/>
    <w:rsid w:val="00974C28"/>
    <w:rsid w:val="00976E37"/>
    <w:rsid w:val="009A3B4A"/>
    <w:rsid w:val="009C178E"/>
    <w:rsid w:val="009F7856"/>
    <w:rsid w:val="00A10BA1"/>
    <w:rsid w:val="00A174CC"/>
    <w:rsid w:val="00A2357C"/>
    <w:rsid w:val="00A443CA"/>
    <w:rsid w:val="00A71C40"/>
    <w:rsid w:val="00A77B8E"/>
    <w:rsid w:val="00A82FBB"/>
    <w:rsid w:val="00A95E1E"/>
    <w:rsid w:val="00AA4711"/>
    <w:rsid w:val="00AC4152"/>
    <w:rsid w:val="00AD201A"/>
    <w:rsid w:val="00AD2884"/>
    <w:rsid w:val="00AD5A3A"/>
    <w:rsid w:val="00AD759B"/>
    <w:rsid w:val="00AE2E79"/>
    <w:rsid w:val="00AE528C"/>
    <w:rsid w:val="00AF4998"/>
    <w:rsid w:val="00B03B7F"/>
    <w:rsid w:val="00B06F0E"/>
    <w:rsid w:val="00B1187F"/>
    <w:rsid w:val="00B30671"/>
    <w:rsid w:val="00B35CC8"/>
    <w:rsid w:val="00B47589"/>
    <w:rsid w:val="00BD6C0B"/>
    <w:rsid w:val="00BD7967"/>
    <w:rsid w:val="00BE4F5A"/>
    <w:rsid w:val="00C0710C"/>
    <w:rsid w:val="00C321B1"/>
    <w:rsid w:val="00C53390"/>
    <w:rsid w:val="00C53E87"/>
    <w:rsid w:val="00C55633"/>
    <w:rsid w:val="00C8775F"/>
    <w:rsid w:val="00C95FB7"/>
    <w:rsid w:val="00CD2C82"/>
    <w:rsid w:val="00CF59EA"/>
    <w:rsid w:val="00D04287"/>
    <w:rsid w:val="00D062BE"/>
    <w:rsid w:val="00D10857"/>
    <w:rsid w:val="00D13AD5"/>
    <w:rsid w:val="00D23567"/>
    <w:rsid w:val="00D46663"/>
    <w:rsid w:val="00D77E1C"/>
    <w:rsid w:val="00D928AE"/>
    <w:rsid w:val="00D9FAB6"/>
    <w:rsid w:val="00DC4A69"/>
    <w:rsid w:val="00DD58AA"/>
    <w:rsid w:val="00DE01F5"/>
    <w:rsid w:val="00E034BE"/>
    <w:rsid w:val="00E37077"/>
    <w:rsid w:val="00E37E83"/>
    <w:rsid w:val="00E50727"/>
    <w:rsid w:val="00E61418"/>
    <w:rsid w:val="00E863D4"/>
    <w:rsid w:val="00E92794"/>
    <w:rsid w:val="00E969AE"/>
    <w:rsid w:val="00ED4569"/>
    <w:rsid w:val="00EE484F"/>
    <w:rsid w:val="00EE74CC"/>
    <w:rsid w:val="00EF2448"/>
    <w:rsid w:val="00F110F7"/>
    <w:rsid w:val="00F62692"/>
    <w:rsid w:val="00F711CE"/>
    <w:rsid w:val="00F74510"/>
    <w:rsid w:val="00F9028E"/>
    <w:rsid w:val="00F911F1"/>
    <w:rsid w:val="00F943F9"/>
    <w:rsid w:val="00FA1DC3"/>
    <w:rsid w:val="00FB300C"/>
    <w:rsid w:val="00FC2269"/>
    <w:rsid w:val="00FC6642"/>
    <w:rsid w:val="00FF4171"/>
    <w:rsid w:val="029892F0"/>
    <w:rsid w:val="02BEFF51"/>
    <w:rsid w:val="0330E16C"/>
    <w:rsid w:val="05FE4A02"/>
    <w:rsid w:val="0890C067"/>
    <w:rsid w:val="0C02BC10"/>
    <w:rsid w:val="140DA51A"/>
    <w:rsid w:val="15EB2115"/>
    <w:rsid w:val="176047D5"/>
    <w:rsid w:val="182B9C46"/>
    <w:rsid w:val="1BCC6B3B"/>
    <w:rsid w:val="1E968FC1"/>
    <w:rsid w:val="2006F8D8"/>
    <w:rsid w:val="249EC301"/>
    <w:rsid w:val="2757DA40"/>
    <w:rsid w:val="2A09334B"/>
    <w:rsid w:val="2A6F196B"/>
    <w:rsid w:val="2F0AE1B7"/>
    <w:rsid w:val="2F73FB6A"/>
    <w:rsid w:val="3033E034"/>
    <w:rsid w:val="3D71D18A"/>
    <w:rsid w:val="3F7F54E5"/>
    <w:rsid w:val="41801E19"/>
    <w:rsid w:val="42811AD1"/>
    <w:rsid w:val="450EF058"/>
    <w:rsid w:val="46EF55D1"/>
    <w:rsid w:val="47430D2C"/>
    <w:rsid w:val="4960D55B"/>
    <w:rsid w:val="4AF78358"/>
    <w:rsid w:val="4D4B1555"/>
    <w:rsid w:val="4D9B1A00"/>
    <w:rsid w:val="4EA6916F"/>
    <w:rsid w:val="4EC27846"/>
    <w:rsid w:val="5B361998"/>
    <w:rsid w:val="5CE6C9E3"/>
    <w:rsid w:val="617B5017"/>
    <w:rsid w:val="6629B0D0"/>
    <w:rsid w:val="6981CAB3"/>
    <w:rsid w:val="6DC72A7E"/>
    <w:rsid w:val="6E1BB82D"/>
    <w:rsid w:val="7041FE83"/>
    <w:rsid w:val="7053D3F2"/>
    <w:rsid w:val="72276B7B"/>
    <w:rsid w:val="74194305"/>
    <w:rsid w:val="7848C5B5"/>
    <w:rsid w:val="7EDA3724"/>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phylogeny.fr"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1676</Words>
  <Characters>9557</Characters>
  <Application>Microsoft Office Word</Application>
  <DocSecurity>0</DocSecurity>
  <Lines>79</Lines>
  <Paragraphs>22</Paragraphs>
  <ScaleCrop>false</ScaleCrop>
  <Company/>
  <LinksUpToDate>false</LinksUpToDate>
  <CharactersWithSpaces>11211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21</cp:revision>
  <dcterms:created xsi:type="dcterms:W3CDTF">2026-09-08T13:46:00Z</dcterms:created>
  <dcterms:modified xsi:type="dcterms:W3CDTF">2026-09-12T19:40:00Z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