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3C6C65BD">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193FE9E1" w:rsidR="00E37077" w:rsidRPr="001D0007" w:rsidRDefault="046E795A" w:rsidP="3C6C65BD">
            <w:pPr>
              <w:rPr>
                <w:rFonts w:ascii="Aptos" w:hAnsi="Aptos" w:cs="Arial"/>
                <w:color w:val="000000" w:themeColor="text1"/>
                <w:sz w:val="20"/>
                <w:szCs w:val="20"/>
              </w:rPr>
            </w:pPr>
            <w:r w:rsidRPr="3C6C65BD">
              <w:rPr>
                <w:rFonts w:ascii="Aptos" w:hAnsi="Aptos" w:cs="Arial"/>
                <w:color w:val="000000" w:themeColor="text1"/>
                <w:sz w:val="20"/>
                <w:szCs w:val="20"/>
              </w:rPr>
              <w:t xml:space="preserve">To create a new subfamily, </w:t>
            </w:r>
            <w:r w:rsidRPr="3C6C65BD">
              <w:rPr>
                <w:rFonts w:ascii="Aptos" w:hAnsi="Aptos" w:cs="Arial"/>
                <w:i/>
                <w:iCs/>
                <w:color w:val="000000" w:themeColor="text1"/>
                <w:sz w:val="20"/>
                <w:szCs w:val="20"/>
              </w:rPr>
              <w:t>Mankiewiczvirinae</w:t>
            </w:r>
            <w:r w:rsidRPr="3C6C65BD">
              <w:rPr>
                <w:rFonts w:ascii="Aptos" w:hAnsi="Aptos" w:cs="Arial"/>
                <w:color w:val="000000" w:themeColor="text1"/>
                <w:sz w:val="20"/>
                <w:szCs w:val="20"/>
              </w:rPr>
              <w:t xml:space="preserve">, containing </w:t>
            </w:r>
            <w:r w:rsidRPr="3C6C65BD">
              <w:rPr>
                <w:rFonts w:ascii="Aptos" w:hAnsi="Aptos" w:cs="Arial"/>
                <w:i/>
                <w:iCs/>
                <w:color w:val="000000" w:themeColor="text1"/>
                <w:sz w:val="20"/>
                <w:szCs w:val="20"/>
              </w:rPr>
              <w:t>Bippervirus</w:t>
            </w:r>
            <w:r w:rsidR="0E863F6D" w:rsidRPr="3C6C65BD">
              <w:rPr>
                <w:rFonts w:ascii="Aptos" w:hAnsi="Aptos" w:cs="Arial"/>
                <w:i/>
                <w:iCs/>
                <w:color w:val="000000" w:themeColor="text1"/>
                <w:sz w:val="20"/>
                <w:szCs w:val="20"/>
              </w:rPr>
              <w:t xml:space="preserve"> </w:t>
            </w:r>
            <w:r w:rsidR="0E863F6D" w:rsidRPr="3C6C65BD">
              <w:rPr>
                <w:rFonts w:ascii="Aptos" w:hAnsi="Aptos" w:cs="Arial"/>
                <w:color w:val="000000" w:themeColor="text1"/>
                <w:sz w:val="20"/>
                <w:szCs w:val="20"/>
              </w:rPr>
              <w:t>and</w:t>
            </w:r>
            <w:r w:rsidRPr="3C6C65BD">
              <w:rPr>
                <w:rFonts w:ascii="Aptos" w:hAnsi="Aptos" w:cs="Arial"/>
                <w:color w:val="000000" w:themeColor="text1"/>
                <w:sz w:val="20"/>
                <w:szCs w:val="20"/>
              </w:rPr>
              <w:t xml:space="preserve"> </w:t>
            </w:r>
            <w:r w:rsidRPr="3C6C65BD">
              <w:rPr>
                <w:rFonts w:ascii="Aptos" w:hAnsi="Aptos" w:cs="Arial"/>
                <w:i/>
                <w:iCs/>
                <w:color w:val="000000" w:themeColor="text1"/>
                <w:sz w:val="20"/>
                <w:szCs w:val="20"/>
              </w:rPr>
              <w:t>Typhavirus</w:t>
            </w:r>
            <w:r w:rsidR="0D7EE74A" w:rsidRPr="3C6C65BD">
              <w:rPr>
                <w:rFonts w:ascii="Aptos" w:hAnsi="Aptos" w:cs="Arial"/>
                <w:color w:val="000000" w:themeColor="text1"/>
                <w:sz w:val="20"/>
                <w:szCs w:val="20"/>
              </w:rPr>
              <w:t xml:space="preserve"> </w:t>
            </w:r>
            <w:r w:rsidRPr="3C6C65BD">
              <w:rPr>
                <w:rFonts w:ascii="Aptos" w:hAnsi="Aptos" w:cs="Arial"/>
                <w:color w:val="000000" w:themeColor="text1"/>
                <w:sz w:val="20"/>
                <w:szCs w:val="20"/>
              </w:rPr>
              <w:t>(</w:t>
            </w:r>
            <w:r w:rsidR="0D117A99" w:rsidRPr="3C6C65BD">
              <w:rPr>
                <w:rFonts w:ascii="Aptos" w:hAnsi="Aptos" w:cs="Arial"/>
                <w:color w:val="000000" w:themeColor="text1"/>
                <w:sz w:val="20"/>
                <w:szCs w:val="20"/>
              </w:rPr>
              <w:t xml:space="preserve">class </w:t>
            </w:r>
            <w:r w:rsidRPr="3C6C65BD">
              <w:rPr>
                <w:rFonts w:ascii="Aptos" w:hAnsi="Aptos" w:cs="Arial"/>
                <w:i/>
                <w:iCs/>
                <w:color w:val="000000" w:themeColor="text1"/>
                <w:sz w:val="20"/>
                <w:szCs w:val="20"/>
              </w:rPr>
              <w:t>Caudoviricetes</w:t>
            </w:r>
            <w:r w:rsidRPr="3C6C65BD">
              <w:rPr>
                <w:rFonts w:ascii="Aptos" w:hAnsi="Aptos" w:cs="Arial"/>
                <w:color w:val="000000" w:themeColor="text1"/>
                <w:sz w:val="20"/>
                <w:szCs w:val="20"/>
              </w:rPr>
              <w:t>)</w:t>
            </w:r>
          </w:p>
        </w:tc>
      </w:tr>
      <w:tr w:rsidR="00E37077" w:rsidRPr="00C95FB7" w14:paraId="6479468A" w14:textId="77777777" w:rsidTr="3C6C65BD">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553F4E2A" w:rsidR="00E37077" w:rsidRPr="0021132D" w:rsidRDefault="0021132D" w:rsidP="00DD58AA">
            <w:pPr>
              <w:pStyle w:val="BodyTextIndent"/>
              <w:ind w:left="0" w:firstLine="0"/>
              <w:rPr>
                <w:rFonts w:ascii="Aptos" w:hAnsi="Aptos" w:cs="Arial"/>
                <w:bCs/>
                <w:i/>
                <w:sz w:val="20"/>
              </w:rPr>
            </w:pPr>
            <w:r>
              <w:rPr>
                <w:rFonts w:ascii="Aptos" w:hAnsi="Aptos" w:cs="Arial"/>
                <w:bCs/>
                <w:sz w:val="20"/>
              </w:rPr>
              <w:t>2026.044B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709"/>
        <w:gridCol w:w="1358"/>
        <w:gridCol w:w="2565"/>
        <w:gridCol w:w="2595"/>
        <w:gridCol w:w="1096"/>
      </w:tblGrid>
      <w:tr w:rsidR="002D4340" w14:paraId="46D8D295" w14:textId="4B68158E" w:rsidTr="3C6C65BD">
        <w:trPr>
          <w:trHeight w:val="173"/>
        </w:trPr>
        <w:tc>
          <w:tcPr>
            <w:tcW w:w="9323" w:type="dxa"/>
            <w:gridSpan w:val="5"/>
            <w:shd w:val="clear" w:color="auto" w:fill="F2F2F2" w:themeFill="background1" w:themeFillShade="F2"/>
          </w:tcPr>
          <w:p w14:paraId="730FC69E" w14:textId="40420E3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3C6C65BD">
        <w:trPr>
          <w:trHeight w:val="411"/>
        </w:trPr>
        <w:tc>
          <w:tcPr>
            <w:tcW w:w="1709"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35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565" w:type="dxa"/>
            <w:shd w:val="clear" w:color="auto" w:fill="F2F2F2" w:themeFill="background1" w:themeFillShade="F2"/>
            <w:vAlign w:val="center"/>
          </w:tcPr>
          <w:p w14:paraId="31CF02AA" w14:textId="0298F222"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595" w:type="dxa"/>
            <w:shd w:val="clear" w:color="auto" w:fill="F2F2F2" w:themeFill="background1" w:themeFillShade="F2"/>
            <w:vAlign w:val="center"/>
          </w:tcPr>
          <w:p w14:paraId="6DA5FEAF" w14:textId="408DB694"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09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17A21666" w:rsidR="002D4340" w:rsidRPr="00AF4998" w:rsidRDefault="002D4340" w:rsidP="00AF4998">
            <w:pPr>
              <w:rPr>
                <w:rFonts w:ascii="Aptos" w:hAnsi="Aptos" w:cs="Arial"/>
                <w:color w:val="0070C0"/>
                <w:sz w:val="20"/>
                <w:szCs w:val="20"/>
              </w:rPr>
            </w:pPr>
          </w:p>
        </w:tc>
      </w:tr>
      <w:tr w:rsidR="005B152A" w14:paraId="25C5397F" w14:textId="77777777" w:rsidTr="3C6C65BD">
        <w:tc>
          <w:tcPr>
            <w:tcW w:w="1709" w:type="dxa"/>
            <w:hideMark/>
          </w:tcPr>
          <w:p w14:paraId="6165261A" w14:textId="77777777" w:rsidR="005B152A" w:rsidRDefault="005B152A">
            <w:pPr>
              <w:rPr>
                <w:rFonts w:ascii="Aptos" w:hAnsi="Aptos" w:cs="Arial"/>
                <w:bCs/>
                <w:color w:val="000000" w:themeColor="text1"/>
                <w:sz w:val="20"/>
                <w:szCs w:val="20"/>
              </w:rPr>
            </w:pPr>
            <w:r>
              <w:rPr>
                <w:rFonts w:ascii="Aptos" w:hAnsi="Aptos" w:cs="Arial"/>
                <w:bCs/>
                <w:color w:val="000000" w:themeColor="text1"/>
                <w:sz w:val="20"/>
                <w:szCs w:val="20"/>
              </w:rPr>
              <w:t>Ipek</w:t>
            </w:r>
          </w:p>
        </w:tc>
        <w:tc>
          <w:tcPr>
            <w:tcW w:w="1358" w:type="dxa"/>
            <w:hideMark/>
          </w:tcPr>
          <w:p w14:paraId="0073AA5C" w14:textId="77777777" w:rsidR="005B152A" w:rsidRDefault="005B152A">
            <w:pPr>
              <w:rPr>
                <w:rFonts w:ascii="Aptos" w:hAnsi="Aptos" w:cs="Arial"/>
                <w:bCs/>
                <w:color w:val="000000" w:themeColor="text1"/>
                <w:sz w:val="20"/>
                <w:szCs w:val="20"/>
              </w:rPr>
            </w:pPr>
            <w:r>
              <w:rPr>
                <w:rFonts w:ascii="Aptos" w:hAnsi="Aptos" w:cs="Arial"/>
                <w:bCs/>
                <w:color w:val="000000" w:themeColor="text1"/>
                <w:sz w:val="20"/>
                <w:szCs w:val="20"/>
              </w:rPr>
              <w:t>Kurtböke</w:t>
            </w:r>
          </w:p>
        </w:tc>
        <w:tc>
          <w:tcPr>
            <w:tcW w:w="2565" w:type="dxa"/>
            <w:hideMark/>
          </w:tcPr>
          <w:p w14:paraId="705B4903" w14:textId="77777777" w:rsidR="005B152A" w:rsidRDefault="005B152A">
            <w:pPr>
              <w:rPr>
                <w:rFonts w:ascii="Aptos" w:hAnsi="Aptos" w:cs="Arial"/>
                <w:bCs/>
                <w:color w:val="000000" w:themeColor="text1"/>
                <w:sz w:val="20"/>
                <w:szCs w:val="20"/>
              </w:rPr>
            </w:pPr>
            <w:r>
              <w:rPr>
                <w:rFonts w:ascii="Aptos" w:hAnsi="Aptos" w:cs="Arial"/>
                <w:bCs/>
                <w:color w:val="000000" w:themeColor="text1"/>
                <w:sz w:val="20"/>
                <w:szCs w:val="20"/>
              </w:rPr>
              <w:t xml:space="preserve">Environmental Microbiology, University of the Sunshine Coast, </w:t>
            </w:r>
          </w:p>
          <w:p w14:paraId="790CDDC4" w14:textId="77777777" w:rsidR="005B152A" w:rsidRDefault="005B152A">
            <w:pPr>
              <w:rPr>
                <w:rFonts w:ascii="Aptos" w:hAnsi="Aptos" w:cs="Arial"/>
                <w:bCs/>
                <w:color w:val="000000" w:themeColor="text1"/>
                <w:sz w:val="20"/>
                <w:szCs w:val="20"/>
              </w:rPr>
            </w:pPr>
            <w:r>
              <w:rPr>
                <w:rFonts w:ascii="Aptos" w:hAnsi="Aptos" w:cs="Arial"/>
                <w:bCs/>
                <w:color w:val="000000" w:themeColor="text1"/>
                <w:sz w:val="20"/>
                <w:szCs w:val="20"/>
              </w:rPr>
              <w:t xml:space="preserve">School of Science, Technology and Engineering, </w:t>
            </w:r>
          </w:p>
          <w:p w14:paraId="7DA4A04F" w14:textId="77777777" w:rsidR="005B152A" w:rsidRDefault="005B152A">
            <w:pPr>
              <w:rPr>
                <w:rFonts w:ascii="Aptos" w:hAnsi="Aptos" w:cs="Arial"/>
                <w:bCs/>
                <w:color w:val="000000" w:themeColor="text1"/>
                <w:sz w:val="20"/>
                <w:szCs w:val="20"/>
              </w:rPr>
            </w:pPr>
            <w:r>
              <w:rPr>
                <w:rFonts w:ascii="Aptos" w:hAnsi="Aptos" w:cs="Arial"/>
                <w:bCs/>
                <w:color w:val="000000" w:themeColor="text1"/>
                <w:sz w:val="20"/>
                <w:szCs w:val="20"/>
              </w:rPr>
              <w:t>Maroochydore DC, Australia</w:t>
            </w:r>
          </w:p>
        </w:tc>
        <w:tc>
          <w:tcPr>
            <w:tcW w:w="2595" w:type="dxa"/>
            <w:hideMark/>
          </w:tcPr>
          <w:p w14:paraId="2FA6FD7F" w14:textId="77777777" w:rsidR="005B152A" w:rsidRDefault="005B152A">
            <w:pPr>
              <w:rPr>
                <w:rFonts w:ascii="Aptos" w:hAnsi="Aptos" w:cs="Arial"/>
                <w:bCs/>
                <w:color w:val="000000" w:themeColor="text1"/>
                <w:sz w:val="20"/>
                <w:szCs w:val="20"/>
              </w:rPr>
            </w:pPr>
            <w:r>
              <w:rPr>
                <w:rFonts w:ascii="Aptos" w:hAnsi="Aptos" w:cs="Arial"/>
                <w:bCs/>
                <w:color w:val="000000" w:themeColor="text1"/>
                <w:sz w:val="20"/>
                <w:szCs w:val="20"/>
              </w:rPr>
              <w:t>IKurtbok@usc.edu.au</w:t>
            </w:r>
          </w:p>
        </w:tc>
        <w:tc>
          <w:tcPr>
            <w:tcW w:w="1096" w:type="dxa"/>
          </w:tcPr>
          <w:p w14:paraId="3457C249" w14:textId="77777777" w:rsidR="005B152A" w:rsidRDefault="005B152A">
            <w:pPr>
              <w:jc w:val="center"/>
              <w:rPr>
                <w:rFonts w:ascii="Aptos" w:hAnsi="Aptos" w:cs="Arial"/>
                <w:bCs/>
                <w:color w:val="000000" w:themeColor="text1"/>
                <w:sz w:val="20"/>
                <w:szCs w:val="20"/>
              </w:rPr>
            </w:pPr>
          </w:p>
        </w:tc>
      </w:tr>
      <w:tr w:rsidR="005B152A" w14:paraId="130FBA86" w14:textId="77777777" w:rsidTr="3C6C65BD">
        <w:tc>
          <w:tcPr>
            <w:tcW w:w="1709" w:type="dxa"/>
            <w:hideMark/>
          </w:tcPr>
          <w:p w14:paraId="502E6E62" w14:textId="77777777" w:rsidR="005B152A" w:rsidRDefault="005B152A">
            <w:pPr>
              <w:rPr>
                <w:rFonts w:ascii="Aptos" w:hAnsi="Aptos" w:cs="Arial"/>
                <w:bCs/>
                <w:color w:val="000000" w:themeColor="text1"/>
                <w:sz w:val="20"/>
                <w:szCs w:val="20"/>
              </w:rPr>
            </w:pPr>
            <w:r>
              <w:rPr>
                <w:rFonts w:ascii="Aptos" w:hAnsi="Aptos" w:cs="Arial"/>
                <w:bCs/>
                <w:color w:val="000000" w:themeColor="text1"/>
                <w:sz w:val="20"/>
                <w:szCs w:val="20"/>
              </w:rPr>
              <w:t>Cristina M.</w:t>
            </w:r>
          </w:p>
        </w:tc>
        <w:tc>
          <w:tcPr>
            <w:tcW w:w="1358" w:type="dxa"/>
            <w:hideMark/>
          </w:tcPr>
          <w:p w14:paraId="204D7BB2" w14:textId="77777777" w:rsidR="005B152A" w:rsidRDefault="005B152A">
            <w:pPr>
              <w:rPr>
                <w:rFonts w:ascii="Aptos" w:hAnsi="Aptos" w:cs="Arial"/>
                <w:bCs/>
                <w:color w:val="000000" w:themeColor="text1"/>
                <w:sz w:val="20"/>
                <w:szCs w:val="20"/>
              </w:rPr>
            </w:pPr>
            <w:r>
              <w:rPr>
                <w:rFonts w:ascii="Aptos" w:hAnsi="Aptos" w:cs="Arial"/>
                <w:bCs/>
                <w:color w:val="000000" w:themeColor="text1"/>
                <w:sz w:val="20"/>
                <w:szCs w:val="20"/>
              </w:rPr>
              <w:t>Moraru</w:t>
            </w:r>
          </w:p>
        </w:tc>
        <w:tc>
          <w:tcPr>
            <w:tcW w:w="2565" w:type="dxa"/>
            <w:hideMark/>
          </w:tcPr>
          <w:p w14:paraId="578F2A30" w14:textId="77777777" w:rsidR="005B152A" w:rsidRDefault="005B152A">
            <w:pPr>
              <w:rPr>
                <w:rFonts w:ascii="Aptos" w:hAnsi="Aptos" w:cs="Arial"/>
                <w:bCs/>
                <w:color w:val="000000" w:themeColor="text1"/>
                <w:sz w:val="20"/>
                <w:szCs w:val="20"/>
              </w:rPr>
            </w:pPr>
            <w:r>
              <w:rPr>
                <w:rFonts w:ascii="Aptos" w:hAnsi="Aptos" w:cs="Arial"/>
                <w:bCs/>
                <w:color w:val="000000" w:themeColor="text1"/>
                <w:sz w:val="20"/>
                <w:szCs w:val="20"/>
              </w:rPr>
              <w:t>Department of Chemistry, Environmental Metagenomics,</w:t>
            </w:r>
          </w:p>
          <w:p w14:paraId="2A525B11" w14:textId="77777777" w:rsidR="005B152A" w:rsidRDefault="005B152A">
            <w:pPr>
              <w:rPr>
                <w:rFonts w:ascii="Aptos" w:hAnsi="Aptos" w:cs="Arial"/>
                <w:bCs/>
                <w:color w:val="000000" w:themeColor="text1"/>
                <w:sz w:val="20"/>
                <w:szCs w:val="20"/>
              </w:rPr>
            </w:pPr>
            <w:r>
              <w:rPr>
                <w:rFonts w:ascii="Aptos" w:hAnsi="Aptos" w:cs="Arial"/>
                <w:bCs/>
                <w:color w:val="000000" w:themeColor="text1"/>
                <w:sz w:val="20"/>
                <w:szCs w:val="20"/>
              </w:rPr>
              <w:t>University of Duisburg-Essen,</w:t>
            </w:r>
          </w:p>
          <w:p w14:paraId="347C56AB" w14:textId="77777777" w:rsidR="005B152A" w:rsidRDefault="005B152A">
            <w:pPr>
              <w:rPr>
                <w:rFonts w:ascii="Aptos" w:hAnsi="Aptos" w:cs="Arial"/>
                <w:bCs/>
                <w:color w:val="000000" w:themeColor="text1"/>
                <w:sz w:val="20"/>
                <w:szCs w:val="20"/>
              </w:rPr>
            </w:pPr>
            <w:r>
              <w:rPr>
                <w:rFonts w:ascii="Aptos" w:hAnsi="Aptos" w:cs="Arial"/>
                <w:bCs/>
                <w:color w:val="000000" w:themeColor="text1"/>
                <w:sz w:val="20"/>
                <w:szCs w:val="20"/>
              </w:rPr>
              <w:t>D-45141 Essen,</w:t>
            </w:r>
          </w:p>
          <w:p w14:paraId="2115C081" w14:textId="77777777" w:rsidR="005B152A" w:rsidRDefault="005B152A">
            <w:pPr>
              <w:rPr>
                <w:rFonts w:ascii="Aptos" w:hAnsi="Aptos" w:cs="Arial"/>
                <w:bCs/>
                <w:color w:val="000000" w:themeColor="text1"/>
                <w:sz w:val="20"/>
                <w:szCs w:val="20"/>
              </w:rPr>
            </w:pPr>
            <w:r>
              <w:rPr>
                <w:rFonts w:ascii="Aptos" w:hAnsi="Aptos" w:cs="Arial"/>
                <w:bCs/>
                <w:color w:val="000000" w:themeColor="text1"/>
                <w:sz w:val="20"/>
                <w:szCs w:val="20"/>
              </w:rPr>
              <w:t>Germany</w:t>
            </w:r>
          </w:p>
        </w:tc>
        <w:tc>
          <w:tcPr>
            <w:tcW w:w="2595" w:type="dxa"/>
            <w:hideMark/>
          </w:tcPr>
          <w:p w14:paraId="5A86DB4B" w14:textId="77777777" w:rsidR="005B152A" w:rsidRDefault="005B152A">
            <w:pPr>
              <w:rPr>
                <w:rFonts w:ascii="Aptos" w:hAnsi="Aptos" w:cs="Arial"/>
                <w:bCs/>
                <w:color w:val="000000" w:themeColor="text1"/>
                <w:sz w:val="20"/>
                <w:szCs w:val="20"/>
              </w:rPr>
            </w:pPr>
            <w:r>
              <w:rPr>
                <w:rFonts w:ascii="Aptos" w:hAnsi="Aptos" w:cs="Arial"/>
                <w:bCs/>
                <w:color w:val="000000" w:themeColor="text1"/>
                <w:sz w:val="20"/>
                <w:szCs w:val="20"/>
              </w:rPr>
              <w:t>lilianacristina.moraru@uni-due.de</w:t>
            </w:r>
          </w:p>
        </w:tc>
        <w:tc>
          <w:tcPr>
            <w:tcW w:w="1096" w:type="dxa"/>
          </w:tcPr>
          <w:p w14:paraId="0297C290" w14:textId="77777777" w:rsidR="005B152A" w:rsidRDefault="005B152A">
            <w:pPr>
              <w:jc w:val="center"/>
              <w:rPr>
                <w:rFonts w:ascii="Aptos" w:hAnsi="Aptos" w:cs="Arial"/>
                <w:bCs/>
                <w:color w:val="000000" w:themeColor="text1"/>
                <w:sz w:val="20"/>
                <w:szCs w:val="20"/>
              </w:rPr>
            </w:pPr>
          </w:p>
        </w:tc>
      </w:tr>
      <w:tr w:rsidR="004B151F" w14:paraId="41B9704A" w14:textId="77777777" w:rsidTr="3C6C65BD">
        <w:tc>
          <w:tcPr>
            <w:tcW w:w="1709" w:type="dxa"/>
            <w:hideMark/>
          </w:tcPr>
          <w:p w14:paraId="019C0DBB" w14:textId="77777777" w:rsidR="004B151F" w:rsidRDefault="004B151F">
            <w:pPr>
              <w:rPr>
                <w:rFonts w:ascii="Aptos" w:hAnsi="Aptos" w:cs="Arial"/>
                <w:bCs/>
                <w:color w:val="000000" w:themeColor="text1"/>
                <w:sz w:val="20"/>
                <w:szCs w:val="20"/>
              </w:rPr>
            </w:pPr>
            <w:r>
              <w:rPr>
                <w:rFonts w:ascii="Aptos" w:hAnsi="Aptos" w:cs="Arial"/>
                <w:bCs/>
                <w:color w:val="000000" w:themeColor="text1"/>
                <w:sz w:val="20"/>
                <w:szCs w:val="20"/>
              </w:rPr>
              <w:t>Andrew M.</w:t>
            </w:r>
          </w:p>
        </w:tc>
        <w:tc>
          <w:tcPr>
            <w:tcW w:w="1358" w:type="dxa"/>
            <w:hideMark/>
          </w:tcPr>
          <w:p w14:paraId="5AC7825E" w14:textId="77777777" w:rsidR="004B151F" w:rsidRDefault="004B151F">
            <w:pPr>
              <w:rPr>
                <w:rFonts w:ascii="Aptos" w:hAnsi="Aptos" w:cs="Arial"/>
                <w:bCs/>
                <w:color w:val="000000" w:themeColor="text1"/>
                <w:sz w:val="20"/>
                <w:szCs w:val="20"/>
              </w:rPr>
            </w:pPr>
            <w:r>
              <w:rPr>
                <w:rFonts w:ascii="Aptos" w:hAnsi="Aptos" w:cs="Arial"/>
                <w:bCs/>
                <w:color w:val="000000" w:themeColor="text1"/>
                <w:sz w:val="20"/>
                <w:szCs w:val="20"/>
              </w:rPr>
              <w:t>Kropinski</w:t>
            </w:r>
          </w:p>
        </w:tc>
        <w:tc>
          <w:tcPr>
            <w:tcW w:w="2565" w:type="dxa"/>
            <w:hideMark/>
          </w:tcPr>
          <w:p w14:paraId="32E13C46" w14:textId="77777777" w:rsidR="004B151F" w:rsidRDefault="004B151F">
            <w:pPr>
              <w:rPr>
                <w:rFonts w:ascii="Aptos" w:hAnsi="Aptos" w:cs="Arial"/>
                <w:bCs/>
                <w:color w:val="000000" w:themeColor="text1"/>
                <w:sz w:val="20"/>
                <w:szCs w:val="20"/>
              </w:rPr>
            </w:pPr>
            <w:r>
              <w:rPr>
                <w:rFonts w:ascii="Aptos" w:hAnsi="Aptos" w:cs="Arial"/>
                <w:bCs/>
                <w:color w:val="000000" w:themeColor="text1"/>
                <w:sz w:val="20"/>
                <w:szCs w:val="20"/>
              </w:rPr>
              <w:t>University of Guelph, Guelph, Ontario, Canada N1G2W1</w:t>
            </w:r>
          </w:p>
        </w:tc>
        <w:tc>
          <w:tcPr>
            <w:tcW w:w="2595" w:type="dxa"/>
            <w:hideMark/>
          </w:tcPr>
          <w:p w14:paraId="05D20C7F" w14:textId="77777777" w:rsidR="004B151F" w:rsidRDefault="004B151F">
            <w:pPr>
              <w:rPr>
                <w:rFonts w:ascii="Aptos" w:hAnsi="Aptos" w:cs="Arial"/>
                <w:bCs/>
                <w:color w:val="000000" w:themeColor="text1"/>
                <w:sz w:val="20"/>
                <w:szCs w:val="20"/>
              </w:rPr>
            </w:pPr>
            <w:r>
              <w:rPr>
                <w:rFonts w:ascii="Aptos" w:hAnsi="Aptos" w:cs="Arial"/>
                <w:bCs/>
                <w:color w:val="000000" w:themeColor="text1"/>
                <w:sz w:val="20"/>
                <w:szCs w:val="20"/>
              </w:rPr>
              <w:t>Phage.Canada@gmail.com</w:t>
            </w:r>
          </w:p>
        </w:tc>
        <w:tc>
          <w:tcPr>
            <w:tcW w:w="1096" w:type="dxa"/>
            <w:hideMark/>
          </w:tcPr>
          <w:p w14:paraId="6636070D" w14:textId="77777777" w:rsidR="004B151F" w:rsidRDefault="004B151F">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02F7EA85"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4D4509AF"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41290311" w:rsidR="00D062BE" w:rsidRDefault="00C071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303DC3EB"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175DC744"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9" w:history="1"/>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40B365E5"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001E1FD8" w:rsidR="00BE4F5A" w:rsidRPr="00C95FB7" w:rsidRDefault="00411081" w:rsidP="00DD58AA">
            <w:pPr>
              <w:rPr>
                <w:rFonts w:ascii="Aptos" w:hAnsi="Aptos" w:cs="Arial"/>
                <w:sz w:val="20"/>
                <w:szCs w:val="20"/>
              </w:rPr>
            </w:pPr>
            <w:r>
              <w:rPr>
                <w:rFonts w:ascii="Aptos" w:hAnsi="Aptos" w:cs="Arial"/>
                <w:sz w:val="20"/>
                <w:szCs w:val="20"/>
              </w:rPr>
              <w:t>Actinophages</w:t>
            </w: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3C6C65BD">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779CE8EB" w:rsidR="003A18C5" w:rsidRPr="001D0007" w:rsidRDefault="6F780F7B" w:rsidP="3C6C65BD">
            <w:pPr>
              <w:spacing w:line="259" w:lineRule="auto"/>
            </w:pPr>
            <w:r w:rsidRPr="3C6C65BD">
              <w:rPr>
                <w:rFonts w:ascii="Aptos" w:hAnsi="Aptos" w:cs="Arial"/>
                <w:sz w:val="20"/>
                <w:szCs w:val="20"/>
              </w:rPr>
              <w:t xml:space="preserve"> </w:t>
            </w:r>
            <w:r w:rsidR="59598F8D" w:rsidRPr="3C6C65BD">
              <w:rPr>
                <w:rFonts w:ascii="Aptos" w:hAnsi="Aptos" w:cs="Arial"/>
                <w:sz w:val="20"/>
                <w:szCs w:val="20"/>
              </w:rPr>
              <w:t>20/03/2026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BEC9481"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3E0A0ECE"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58B32D8D"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68D95475" w14:textId="77777777" w:rsidR="00953FFE" w:rsidRDefault="00953FFE" w:rsidP="00DD58AA">
      <w:pPr>
        <w:ind w:firstLine="720"/>
        <w:rPr>
          <w:rFonts w:ascii="Aptos" w:hAnsi="Aptos" w:cs="Arial"/>
          <w:b/>
          <w:sz w:val="20"/>
          <w:szCs w:val="20"/>
        </w:rPr>
      </w:pPr>
    </w:p>
    <w:p w14:paraId="1E73CFEA" w14:textId="1C131C5A" w:rsidR="00A174CC" w:rsidRPr="009F7856" w:rsidRDefault="00953FFE" w:rsidP="00F74510">
      <w:pPr>
        <w:rPr>
          <w:rFonts w:ascii="Aptos" w:hAnsi="Aptos"/>
          <w:sz w:val="20"/>
          <w:szCs w:val="20"/>
        </w:rPr>
      </w:pPr>
      <w:r>
        <w:rPr>
          <w:rFonts w:ascii="Aptos" w:hAnsi="Aptos" w:cs="Arial"/>
          <w:b/>
          <w:color w:val="000000"/>
          <w:sz w:val="20"/>
          <w:szCs w:val="20"/>
        </w:rPr>
        <w:br w:type="page"/>
      </w:r>
      <w:permStart w:id="702228509" w:edGrp="everyone"/>
      <w:permEnd w:id="702228509"/>
      <w:r w:rsidR="008815EE" w:rsidRPr="009F7856">
        <w:rPr>
          <w:rFonts w:ascii="Aptos" w:hAnsi="Aptos"/>
          <w:sz w:val="20"/>
          <w:szCs w:val="20"/>
        </w:rPr>
        <w:br w:type="page"/>
      </w:r>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481D69BD"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1EB85279" w:rsidR="00953FFE" w:rsidRDefault="00411081"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3C6C65BD">
        <w:trPr>
          <w:trHeight w:val="297"/>
        </w:trPr>
        <w:tc>
          <w:tcPr>
            <w:tcW w:w="8926" w:type="dxa"/>
            <w:gridSpan w:val="2"/>
            <w:shd w:val="clear" w:color="auto" w:fill="F2F2F2" w:themeFill="background1" w:themeFillShade="F2"/>
          </w:tcPr>
          <w:p w14:paraId="20EDA6C5" w14:textId="29999CE4"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3C6C65BD">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3C6C65BD">
        <w:trPr>
          <w:trHeight w:val="71"/>
        </w:trPr>
        <w:tc>
          <w:tcPr>
            <w:tcW w:w="2547" w:type="dxa"/>
            <w:vAlign w:val="center"/>
          </w:tcPr>
          <w:p w14:paraId="2B4F2A8D" w14:textId="325EBA0F" w:rsidR="00333392" w:rsidRPr="00411081" w:rsidRDefault="046E795A" w:rsidP="3C6C65BD">
            <w:pPr>
              <w:jc w:val="both"/>
              <w:rPr>
                <w:rFonts w:ascii="Aptos" w:hAnsi="Aptos" w:cs="Arial"/>
                <w:i/>
                <w:iCs/>
                <w:color w:val="000000" w:themeColor="text1"/>
                <w:sz w:val="20"/>
                <w:szCs w:val="20"/>
              </w:rPr>
            </w:pPr>
            <w:r w:rsidRPr="3C6C65BD">
              <w:rPr>
                <w:rFonts w:ascii="Aptos" w:hAnsi="Aptos" w:cs="Arial"/>
                <w:i/>
                <w:iCs/>
                <w:color w:val="000000" w:themeColor="text1"/>
                <w:sz w:val="20"/>
                <w:szCs w:val="20"/>
              </w:rPr>
              <w:t>Mankiewiczvirinae</w:t>
            </w:r>
          </w:p>
        </w:tc>
        <w:tc>
          <w:tcPr>
            <w:tcW w:w="6379" w:type="dxa"/>
            <w:vAlign w:val="center"/>
          </w:tcPr>
          <w:p w14:paraId="17202B3B" w14:textId="1936E789" w:rsidR="00333392" w:rsidRPr="00040CB0" w:rsidRDefault="046E795A" w:rsidP="00040CB0">
            <w:pPr>
              <w:jc w:val="both"/>
            </w:pPr>
            <w:r w:rsidRPr="3C6C65BD">
              <w:rPr>
                <w:rFonts w:ascii="Aptos" w:hAnsi="Aptos" w:cs="Arial"/>
                <w:color w:val="000000" w:themeColor="text1"/>
                <w:sz w:val="20"/>
                <w:szCs w:val="20"/>
              </w:rPr>
              <w:t>Named in honour of Edith Mankiewicz</w:t>
            </w:r>
            <w:r w:rsidR="1DFD13C4" w:rsidRPr="3C6C65BD">
              <w:rPr>
                <w:rFonts w:ascii="Aptos" w:hAnsi="Aptos" w:cs="Arial"/>
                <w:color w:val="000000" w:themeColor="text1"/>
                <w:sz w:val="20"/>
                <w:szCs w:val="20"/>
              </w:rPr>
              <w:t xml:space="preserve"> </w:t>
            </w:r>
            <w:r w:rsidR="6F1C748D" w:rsidRPr="3C6C65BD">
              <w:rPr>
                <w:rFonts w:ascii="Aptos" w:hAnsi="Aptos" w:cs="Arial"/>
                <w:color w:val="000000" w:themeColor="text1"/>
                <w:sz w:val="20"/>
                <w:szCs w:val="20"/>
              </w:rPr>
              <w:t>(†)</w:t>
            </w:r>
          </w:p>
        </w:tc>
      </w:tr>
      <w:tr w:rsidR="00333392" w:rsidRPr="009F7856" w14:paraId="7AAF5EF0" w14:textId="77777777" w:rsidTr="3C6C65BD">
        <w:trPr>
          <w:trHeight w:val="71"/>
        </w:trPr>
        <w:tc>
          <w:tcPr>
            <w:tcW w:w="2547" w:type="dxa"/>
            <w:vAlign w:val="center"/>
          </w:tcPr>
          <w:p w14:paraId="24B2DC76" w14:textId="77777777" w:rsidR="00333392" w:rsidRPr="00040CB0" w:rsidRDefault="00333392" w:rsidP="00040CB0">
            <w:pPr>
              <w:jc w:val="both"/>
              <w:rPr>
                <w:rFonts w:ascii="Aptos" w:hAnsi="Aptos" w:cs="Arial"/>
                <w:b/>
                <w:color w:val="000000" w:themeColor="text1"/>
                <w:sz w:val="20"/>
                <w:szCs w:val="20"/>
              </w:rPr>
            </w:pPr>
          </w:p>
        </w:tc>
        <w:tc>
          <w:tcPr>
            <w:tcW w:w="6379" w:type="dxa"/>
            <w:vAlign w:val="center"/>
          </w:tcPr>
          <w:p w14:paraId="7CC05CA7" w14:textId="77777777" w:rsidR="00333392" w:rsidRPr="00040CB0" w:rsidRDefault="00333392" w:rsidP="00040CB0">
            <w:pPr>
              <w:jc w:val="both"/>
              <w:rPr>
                <w:rFonts w:ascii="Aptos" w:hAnsi="Aptos" w:cs="Arial"/>
                <w:b/>
                <w:color w:val="000000" w:themeColor="text1"/>
                <w:sz w:val="20"/>
                <w:szCs w:val="20"/>
              </w:rPr>
            </w:pPr>
          </w:p>
        </w:tc>
      </w:tr>
      <w:tr w:rsidR="00FC2269" w:rsidRPr="009F7856" w14:paraId="1165141A" w14:textId="77777777" w:rsidTr="3C6C65BD">
        <w:trPr>
          <w:trHeight w:val="71"/>
        </w:trPr>
        <w:tc>
          <w:tcPr>
            <w:tcW w:w="2547" w:type="dxa"/>
            <w:vAlign w:val="center"/>
          </w:tcPr>
          <w:p w14:paraId="2D7AAFF0"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56BC5065" w14:textId="77777777" w:rsidR="00FC2269" w:rsidRPr="00040CB0" w:rsidRDefault="00FC2269" w:rsidP="00040CB0">
            <w:pPr>
              <w:jc w:val="both"/>
              <w:rPr>
                <w:rFonts w:ascii="Aptos" w:hAnsi="Aptos" w:cs="Arial"/>
                <w:b/>
                <w:color w:val="000000" w:themeColor="text1"/>
                <w:sz w:val="20"/>
                <w:szCs w:val="20"/>
              </w:rPr>
            </w:pPr>
          </w:p>
        </w:tc>
      </w:tr>
      <w:tr w:rsidR="00FC2269" w:rsidRPr="009F7856" w14:paraId="20245EE3" w14:textId="77777777" w:rsidTr="3C6C65BD">
        <w:trPr>
          <w:trHeight w:val="71"/>
        </w:trPr>
        <w:tc>
          <w:tcPr>
            <w:tcW w:w="2547" w:type="dxa"/>
            <w:vAlign w:val="center"/>
          </w:tcPr>
          <w:p w14:paraId="6DC0E204"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1BAB929D" w14:textId="77777777" w:rsidR="00FC2269" w:rsidRPr="00040CB0" w:rsidRDefault="00FC2269" w:rsidP="00040CB0">
            <w:pPr>
              <w:jc w:val="both"/>
              <w:rPr>
                <w:rFonts w:ascii="Aptos" w:hAnsi="Aptos" w:cs="Arial"/>
                <w:b/>
                <w:color w:val="000000" w:themeColor="text1"/>
                <w:sz w:val="20"/>
                <w:szCs w:val="20"/>
              </w:rPr>
            </w:pP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1AD1F421"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w:t>
            </w:r>
            <w:r>
              <w:rPr>
                <w:rFonts w:ascii="Aptos" w:hAnsi="Aptos" w:cs="Arial"/>
                <w:b/>
                <w:bCs/>
                <w:color w:val="000000"/>
                <w:sz w:val="20"/>
                <w:szCs w:val="20"/>
              </w:rPr>
              <w:lastRenderedPageBreak/>
              <w:t>ll name of p</w:t>
            </w:r>
            <w:r w:rsidR="00DD58AA" w:rsidRPr="00C95FB7">
              <w:rPr>
                <w:rFonts w:ascii="Aptos" w:hAnsi="Aptos" w:cs="Arial"/>
                <w:b/>
                <w:bCs/>
                <w:color w:val="000000"/>
                <w:sz w:val="20"/>
                <w:szCs w:val="20"/>
              </w:rPr>
              <w:t>erson from whom the name is derived</w:t>
            </w:r>
          </w:p>
        </w:tc>
        <w:tc>
          <w:tcPr>
            <w:tcW w:w="1276" w:type="dxa"/>
          </w:tcPr>
          <w:p w14:paraId="04BB84A7" w14:textId="038F4CC4"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3C6C65BD">
        <w:tc>
          <w:tcPr>
            <w:tcW w:w="8926" w:type="dxa"/>
            <w:shd w:val="clear" w:color="auto" w:fill="F2F2F2" w:themeFill="background1" w:themeFillShade="F2"/>
          </w:tcPr>
          <w:p w14:paraId="4551888A" w14:textId="7CC927EE" w:rsidR="009C178E" w:rsidRDefault="00A77B8E" w:rsidP="009C178E">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p w14:paraId="5831EE03" w14:textId="56A38AAE" w:rsidR="00A77B8E" w:rsidRDefault="00A77B8E" w:rsidP="00E92794">
            <w:pPr>
              <w:rPr>
                <w:rFonts w:ascii="Aptos" w:hAnsi="Aptos" w:cs="Arial"/>
                <w:color w:val="0000FF"/>
                <w:sz w:val="20"/>
                <w:szCs w:val="20"/>
              </w:rPr>
            </w:pPr>
          </w:p>
        </w:tc>
      </w:tr>
      <w:tr w:rsidR="00A77B8E" w14:paraId="62FCA94B" w14:textId="77777777" w:rsidTr="3C6C65BD">
        <w:tc>
          <w:tcPr>
            <w:tcW w:w="8926" w:type="dxa"/>
          </w:tcPr>
          <w:p w14:paraId="4FD7E42A" w14:textId="77777777" w:rsidR="00A77B8E" w:rsidRDefault="00A77B8E" w:rsidP="00DD58AA">
            <w:pPr>
              <w:rPr>
                <w:rFonts w:ascii="Aptos" w:hAnsi="Aptos" w:cs="Arial"/>
                <w:b/>
                <w:i/>
                <w:sz w:val="20"/>
                <w:szCs w:val="20"/>
              </w:rPr>
            </w:pPr>
          </w:p>
          <w:p w14:paraId="6E6EAD7A" w14:textId="75C7A5A1" w:rsidR="004B151F" w:rsidRDefault="3D1A1F7B" w:rsidP="004B151F">
            <w:r w:rsidRPr="3C6C65BD">
              <w:rPr>
                <w:rFonts w:ascii="Aptos" w:hAnsi="Aptos" w:cs="Arial"/>
                <w:i/>
                <w:iCs/>
                <w:sz w:val="20"/>
                <w:szCs w:val="20"/>
              </w:rPr>
              <w:t>Description of current taxonomy</w:t>
            </w:r>
            <w:r w:rsidRPr="3C6C65BD">
              <w:rPr>
                <w:rFonts w:ascii="Aptos" w:hAnsi="Aptos" w:cs="Arial"/>
                <w:sz w:val="20"/>
                <w:szCs w:val="20"/>
              </w:rPr>
              <w:t xml:space="preserve">:       </w:t>
            </w:r>
          </w:p>
          <w:p w14:paraId="46DF7D3D" w14:textId="0E6C1E5F" w:rsidR="004B151F" w:rsidRDefault="5958CB5F" w:rsidP="3C6C65BD">
            <w:pPr>
              <w:spacing w:line="259" w:lineRule="auto"/>
              <w:rPr>
                <w:rFonts w:ascii="Aptos" w:hAnsi="Aptos" w:cs="Arial"/>
                <w:sz w:val="20"/>
                <w:szCs w:val="20"/>
              </w:rPr>
            </w:pPr>
            <w:r w:rsidRPr="3C6C65BD">
              <w:rPr>
                <w:rFonts w:ascii="Aptos" w:hAnsi="Aptos" w:cs="Arial"/>
                <w:sz w:val="20"/>
                <w:szCs w:val="20"/>
              </w:rPr>
              <w:t xml:space="preserve">The </w:t>
            </w:r>
            <w:r w:rsidR="046E795A" w:rsidRPr="3C6C65BD">
              <w:rPr>
                <w:rFonts w:ascii="Aptos" w:hAnsi="Aptos" w:cs="Arial"/>
                <w:sz w:val="20"/>
                <w:szCs w:val="20"/>
              </w:rPr>
              <w:t xml:space="preserve">ICTV has recognized two genera </w:t>
            </w:r>
            <w:r w:rsidR="6098CC3D" w:rsidRPr="3C6C65BD">
              <w:rPr>
                <w:rFonts w:ascii="Aptos" w:hAnsi="Aptos" w:cs="Arial"/>
                <w:sz w:val="20"/>
                <w:szCs w:val="20"/>
              </w:rPr>
              <w:t xml:space="preserve">that contain species assigned to </w:t>
            </w:r>
            <w:r w:rsidR="046E795A" w:rsidRPr="3C6C65BD">
              <w:rPr>
                <w:rFonts w:ascii="Aptos" w:hAnsi="Aptos" w:cs="Arial"/>
                <w:sz w:val="20"/>
                <w:szCs w:val="20"/>
              </w:rPr>
              <w:t>Cluster Y of the Actinobacteriophages Database</w:t>
            </w:r>
            <w:r w:rsidR="7D61D942" w:rsidRPr="3C6C65BD">
              <w:rPr>
                <w:rFonts w:ascii="Aptos" w:hAnsi="Aptos" w:cs="Arial"/>
                <w:sz w:val="20"/>
                <w:szCs w:val="20"/>
              </w:rPr>
              <w:t>;</w:t>
            </w:r>
            <w:r w:rsidR="046E795A" w:rsidRPr="3C6C65BD">
              <w:rPr>
                <w:rFonts w:ascii="Aptos" w:hAnsi="Aptos" w:cs="Arial"/>
                <w:sz w:val="20"/>
                <w:szCs w:val="20"/>
              </w:rPr>
              <w:t xml:space="preserve"> </w:t>
            </w:r>
            <w:r w:rsidR="046E795A" w:rsidRPr="3C6C65BD">
              <w:rPr>
                <w:rFonts w:ascii="Aptos" w:hAnsi="Aptos" w:cs="Arial"/>
                <w:i/>
                <w:iCs/>
                <w:sz w:val="20"/>
                <w:szCs w:val="20"/>
              </w:rPr>
              <w:t>Bippervirus</w:t>
            </w:r>
            <w:r w:rsidR="046E795A" w:rsidRPr="3C6C65BD">
              <w:rPr>
                <w:rFonts w:ascii="Aptos" w:hAnsi="Aptos" w:cs="Arial"/>
                <w:sz w:val="20"/>
                <w:szCs w:val="20"/>
              </w:rPr>
              <w:t xml:space="preserve"> </w:t>
            </w:r>
            <w:r w:rsidR="22BD157F" w:rsidRPr="3C6C65BD">
              <w:rPr>
                <w:rFonts w:ascii="Aptos" w:eastAsia="Aptos" w:hAnsi="Aptos" w:cs="Aptos"/>
                <w:sz w:val="20"/>
                <w:szCs w:val="20"/>
              </w:rPr>
              <w:t>(</w:t>
            </w:r>
            <w:hyperlink r:id="rId10">
              <w:r w:rsidR="22BD157F" w:rsidRPr="3C6C65BD">
                <w:rPr>
                  <w:rStyle w:val="Hyperlink"/>
                  <w:rFonts w:ascii="Aptos" w:eastAsia="Aptos" w:hAnsi="Aptos" w:cs="Aptos"/>
                  <w:color w:val="0068F0"/>
                  <w:sz w:val="20"/>
                  <w:szCs w:val="20"/>
                </w:rPr>
                <w:t>2021.011B.R.Bippervirus)</w:t>
              </w:r>
            </w:hyperlink>
            <w:r w:rsidR="22BD157F" w:rsidRPr="3C6C65BD">
              <w:rPr>
                <w:rFonts w:ascii="Aptos" w:eastAsia="Aptos" w:hAnsi="Aptos" w:cs="Aptos"/>
                <w:sz w:val="20"/>
                <w:szCs w:val="20"/>
              </w:rPr>
              <w:t xml:space="preserve"> </w:t>
            </w:r>
            <w:r w:rsidR="046E795A" w:rsidRPr="3C6C65BD">
              <w:rPr>
                <w:rFonts w:ascii="Aptos" w:hAnsi="Aptos" w:cs="Arial"/>
                <w:sz w:val="20"/>
                <w:szCs w:val="20"/>
              </w:rPr>
              <w:t xml:space="preserve">and </w:t>
            </w:r>
            <w:r w:rsidR="046E795A" w:rsidRPr="3C6C65BD">
              <w:rPr>
                <w:rFonts w:ascii="Aptos" w:hAnsi="Aptos" w:cs="Arial"/>
                <w:i/>
                <w:iCs/>
                <w:sz w:val="20"/>
                <w:szCs w:val="20"/>
              </w:rPr>
              <w:t>Typhavirus</w:t>
            </w:r>
            <w:r w:rsidR="48F9DE60" w:rsidRPr="3C6C65BD">
              <w:rPr>
                <w:rFonts w:ascii="Aptos" w:hAnsi="Aptos" w:cs="Arial"/>
                <w:i/>
                <w:iCs/>
                <w:sz w:val="20"/>
                <w:szCs w:val="20"/>
              </w:rPr>
              <w:t xml:space="preserve"> </w:t>
            </w:r>
            <w:r w:rsidR="48F9DE60" w:rsidRPr="3C6C65BD">
              <w:rPr>
                <w:rFonts w:ascii="Aptos" w:hAnsi="Aptos" w:cs="Arial"/>
                <w:sz w:val="20"/>
                <w:szCs w:val="20"/>
              </w:rPr>
              <w:t>(2021.087B.R.Typhavirus)</w:t>
            </w:r>
            <w:r w:rsidR="046E795A" w:rsidRPr="3C6C65BD">
              <w:rPr>
                <w:rFonts w:ascii="Aptos" w:hAnsi="Aptos" w:cs="Arial"/>
                <w:sz w:val="20"/>
                <w:szCs w:val="20"/>
              </w:rPr>
              <w:t>.</w:t>
            </w:r>
          </w:p>
          <w:p w14:paraId="06D4602F" w14:textId="77777777" w:rsidR="004B151F" w:rsidRDefault="004B151F" w:rsidP="004B151F">
            <w:pPr>
              <w:rPr>
                <w:rFonts w:ascii="Aptos" w:hAnsi="Aptos" w:cs="Arial"/>
                <w:sz w:val="20"/>
                <w:szCs w:val="20"/>
              </w:rPr>
            </w:pPr>
          </w:p>
          <w:p w14:paraId="05408E92" w14:textId="62BD2031" w:rsidR="004B151F" w:rsidRDefault="3D1A1F7B" w:rsidP="00411081">
            <w:r w:rsidRPr="3C6C65BD">
              <w:rPr>
                <w:rFonts w:ascii="Aptos" w:hAnsi="Aptos" w:cs="Arial"/>
                <w:i/>
                <w:iCs/>
                <w:sz w:val="20"/>
                <w:szCs w:val="20"/>
              </w:rPr>
              <w:t>Proposed</w:t>
            </w:r>
            <w:r w:rsidRPr="3C6C65BD">
              <w:rPr>
                <w:rFonts w:ascii="Aptos" w:hAnsi="Aptos" w:cs="Arial"/>
                <w:sz w:val="20"/>
                <w:szCs w:val="20"/>
              </w:rPr>
              <w:t xml:space="preserve"> </w:t>
            </w:r>
            <w:r w:rsidRPr="3C6C65BD">
              <w:rPr>
                <w:rFonts w:ascii="Aptos" w:hAnsi="Aptos" w:cs="Arial"/>
                <w:i/>
                <w:iCs/>
                <w:sz w:val="20"/>
                <w:szCs w:val="20"/>
              </w:rPr>
              <w:t>taxonomic change(s)</w:t>
            </w:r>
            <w:r w:rsidRPr="3C6C65BD">
              <w:rPr>
                <w:rFonts w:ascii="Aptos" w:hAnsi="Aptos" w:cs="Arial"/>
                <w:sz w:val="20"/>
                <w:szCs w:val="20"/>
              </w:rPr>
              <w:t xml:space="preserve">:     </w:t>
            </w:r>
          </w:p>
          <w:p w14:paraId="1C7AA871" w14:textId="0696FB1A" w:rsidR="004B151F" w:rsidRDefault="3D1A1F7B" w:rsidP="3C6C65BD">
            <w:pPr>
              <w:spacing w:line="259" w:lineRule="auto"/>
              <w:rPr>
                <w:rFonts w:ascii="Aptos" w:hAnsi="Aptos" w:cs="Arial"/>
                <w:sz w:val="20"/>
                <w:szCs w:val="20"/>
              </w:rPr>
            </w:pPr>
            <w:r w:rsidRPr="3C6C65BD">
              <w:rPr>
                <w:rFonts w:ascii="Aptos" w:hAnsi="Aptos" w:cs="Arial"/>
                <w:sz w:val="20"/>
                <w:szCs w:val="20"/>
              </w:rPr>
              <w:t xml:space="preserve">We propose to create a new subfamily called </w:t>
            </w:r>
            <w:r w:rsidR="59478A3A" w:rsidRPr="3C6C65BD">
              <w:rPr>
                <w:rFonts w:ascii="Aptos" w:hAnsi="Aptos" w:cs="Arial"/>
                <w:sz w:val="20"/>
                <w:szCs w:val="20"/>
              </w:rPr>
              <w:t>"</w:t>
            </w:r>
            <w:r w:rsidR="046E795A" w:rsidRPr="3C6C65BD">
              <w:rPr>
                <w:rFonts w:ascii="Aptos" w:hAnsi="Aptos" w:cs="Arial"/>
                <w:i/>
                <w:iCs/>
                <w:sz w:val="20"/>
                <w:szCs w:val="20"/>
              </w:rPr>
              <w:t>Mankiewicz</w:t>
            </w:r>
            <w:r w:rsidRPr="3C6C65BD">
              <w:rPr>
                <w:rFonts w:ascii="Aptos" w:hAnsi="Aptos" w:cs="Arial"/>
                <w:i/>
                <w:iCs/>
                <w:sz w:val="20"/>
                <w:szCs w:val="20"/>
              </w:rPr>
              <w:t>v</w:t>
            </w:r>
            <w:r w:rsidRPr="3C6C65BD">
              <w:rPr>
                <w:rFonts w:ascii="Aptos" w:hAnsi="Aptos" w:cs="Arial"/>
                <w:sz w:val="20"/>
                <w:szCs w:val="20"/>
              </w:rPr>
              <w:t>irinae</w:t>
            </w:r>
            <w:r w:rsidR="29A6D9B5" w:rsidRPr="3C6C65BD">
              <w:rPr>
                <w:rFonts w:ascii="Aptos" w:hAnsi="Aptos" w:cs="Arial"/>
                <w:sz w:val="20"/>
                <w:szCs w:val="20"/>
              </w:rPr>
              <w:t>"</w:t>
            </w:r>
            <w:r w:rsidRPr="3C6C65BD">
              <w:rPr>
                <w:rFonts w:ascii="Aptos" w:hAnsi="Aptos" w:cs="Arial"/>
                <w:sz w:val="20"/>
                <w:szCs w:val="20"/>
              </w:rPr>
              <w:t xml:space="preserve"> </w:t>
            </w:r>
            <w:r w:rsidR="2CB40B7A" w:rsidRPr="3C6C65BD">
              <w:rPr>
                <w:rFonts w:ascii="Aptos" w:hAnsi="Aptos" w:cs="Arial"/>
                <w:sz w:val="20"/>
                <w:szCs w:val="20"/>
              </w:rPr>
              <w:t xml:space="preserve">and move the genera </w:t>
            </w:r>
            <w:r w:rsidR="046E795A" w:rsidRPr="3C6C65BD">
              <w:rPr>
                <w:rFonts w:ascii="Aptos" w:hAnsi="Aptos" w:cs="Arial"/>
                <w:i/>
                <w:iCs/>
                <w:sz w:val="20"/>
                <w:szCs w:val="20"/>
              </w:rPr>
              <w:t>Bippervirus</w:t>
            </w:r>
            <w:r w:rsidR="046E795A" w:rsidRPr="3C6C65BD">
              <w:rPr>
                <w:rFonts w:ascii="Aptos" w:hAnsi="Aptos" w:cs="Arial"/>
                <w:sz w:val="20"/>
                <w:szCs w:val="20"/>
              </w:rPr>
              <w:t xml:space="preserve"> and </w:t>
            </w:r>
            <w:r w:rsidR="046E795A" w:rsidRPr="3C6C65BD">
              <w:rPr>
                <w:rFonts w:ascii="Aptos" w:hAnsi="Aptos" w:cs="Arial"/>
                <w:i/>
                <w:iCs/>
                <w:sz w:val="20"/>
                <w:szCs w:val="20"/>
              </w:rPr>
              <w:t>Typhavirus</w:t>
            </w:r>
            <w:r w:rsidR="4B7A6D5F" w:rsidRPr="3C6C65BD">
              <w:rPr>
                <w:rFonts w:ascii="Aptos" w:hAnsi="Aptos" w:cs="Arial"/>
                <w:i/>
                <w:iCs/>
                <w:sz w:val="20"/>
                <w:szCs w:val="20"/>
              </w:rPr>
              <w:t xml:space="preserve"> </w:t>
            </w:r>
            <w:r w:rsidR="4B7A6D5F" w:rsidRPr="3C6C65BD">
              <w:rPr>
                <w:rFonts w:ascii="Aptos" w:hAnsi="Aptos" w:cs="Arial"/>
                <w:sz w:val="20"/>
                <w:szCs w:val="20"/>
              </w:rPr>
              <w:t>into the subfamily along with one new species</w:t>
            </w:r>
            <w:r w:rsidR="046E795A" w:rsidRPr="3C6C65BD">
              <w:rPr>
                <w:rFonts w:ascii="Aptos" w:hAnsi="Aptos" w:cs="Arial"/>
                <w:sz w:val="20"/>
                <w:szCs w:val="20"/>
              </w:rPr>
              <w:t xml:space="preserve">. </w:t>
            </w:r>
          </w:p>
          <w:p w14:paraId="289CC7D3" w14:textId="77777777" w:rsidR="004B151F" w:rsidRDefault="004B151F" w:rsidP="004B151F">
            <w:pPr>
              <w:rPr>
                <w:rFonts w:ascii="Aptos" w:hAnsi="Aptos" w:cs="Arial"/>
                <w:sz w:val="20"/>
                <w:szCs w:val="20"/>
              </w:rPr>
            </w:pPr>
          </w:p>
          <w:p w14:paraId="21AABC27" w14:textId="77777777" w:rsidR="004B151F" w:rsidRDefault="004B151F" w:rsidP="004B151F">
            <w:pPr>
              <w:rPr>
                <w:rFonts w:ascii="Aptos" w:hAnsi="Aptos" w:cs="Arial"/>
                <w:iCs/>
                <w:sz w:val="20"/>
                <w:szCs w:val="20"/>
              </w:rPr>
            </w:pPr>
            <w:r>
              <w:rPr>
                <w:rFonts w:ascii="Aptos" w:hAnsi="Aptos" w:cs="Arial"/>
                <w:i/>
                <w:sz w:val="20"/>
                <w:szCs w:val="20"/>
              </w:rPr>
              <w:t xml:space="preserve">Demarcation criteria for new taxon/taxa: </w:t>
            </w:r>
            <w:r>
              <w:rPr>
                <w:rFonts w:ascii="Aptos" w:hAnsi="Aptos" w:cs="Arial"/>
                <w:iCs/>
                <w:sz w:val="20"/>
                <w:szCs w:val="20"/>
              </w:rPr>
              <w:t>Subfamily demarcation criteria: Subfamilies are to be created when two or more genera are related below the family level. In practical terms, this usually means that they share a low degree of sequence similarity (usually about 40-50%) and that the genera form a clade in a marker tree phylogeny [6].</w:t>
            </w:r>
          </w:p>
          <w:p w14:paraId="2E00D71F" w14:textId="77777777" w:rsidR="004B151F" w:rsidRDefault="004B151F" w:rsidP="004B151F">
            <w:pPr>
              <w:rPr>
                <w:rFonts w:ascii="Aptos" w:hAnsi="Aptos" w:cs="Arial"/>
                <w:iCs/>
                <w:sz w:val="20"/>
                <w:szCs w:val="20"/>
              </w:rPr>
            </w:pPr>
          </w:p>
          <w:p w14:paraId="71498784" w14:textId="77777777" w:rsidR="004B151F" w:rsidRDefault="004B151F" w:rsidP="004B151F">
            <w:pPr>
              <w:rPr>
                <w:rFonts w:ascii="Aptos" w:hAnsi="Aptos" w:cs="Arial"/>
                <w:iCs/>
                <w:sz w:val="20"/>
                <w:szCs w:val="20"/>
              </w:rPr>
            </w:pPr>
            <w:r>
              <w:rPr>
                <w:rFonts w:ascii="Aptos" w:hAnsi="Aptos" w:cs="Arial"/>
                <w:iCs/>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2CE0C931" w14:textId="77777777" w:rsidR="004B151F" w:rsidRDefault="004B151F" w:rsidP="004B151F">
            <w:pPr>
              <w:rPr>
                <w:rFonts w:ascii="Aptos" w:hAnsi="Aptos" w:cs="Arial"/>
                <w:iCs/>
                <w:sz w:val="20"/>
                <w:szCs w:val="20"/>
              </w:rPr>
            </w:pPr>
          </w:p>
          <w:p w14:paraId="4693288E" w14:textId="77777777" w:rsidR="004B151F" w:rsidRDefault="004B151F" w:rsidP="004B151F">
            <w:pPr>
              <w:rPr>
                <w:rFonts w:ascii="Aptos" w:hAnsi="Aptos" w:cs="Arial"/>
                <w:iCs/>
                <w:sz w:val="20"/>
                <w:szCs w:val="20"/>
              </w:rPr>
            </w:pPr>
            <w:r>
              <w:rPr>
                <w:rFonts w:ascii="Aptos" w:hAnsi="Aptos" w:cs="Arial"/>
                <w:iCs/>
                <w:sz w:val="20"/>
                <w:szCs w:val="20"/>
              </w:rPr>
              <w:t>Species demarcation criteria: A demarcation value of 95% intergenomic similarity was used to define different species according to intergenomic similarity. Members of the same genus have &gt;95% intergenomic similarity [6].</w:t>
            </w:r>
          </w:p>
          <w:p w14:paraId="16879B91" w14:textId="77777777" w:rsidR="004B151F" w:rsidRDefault="004B151F" w:rsidP="004B151F">
            <w:pPr>
              <w:rPr>
                <w:rFonts w:ascii="Aptos" w:hAnsi="Aptos" w:cs="Arial"/>
                <w:i/>
                <w:sz w:val="20"/>
                <w:szCs w:val="20"/>
              </w:rPr>
            </w:pPr>
          </w:p>
          <w:p w14:paraId="612D9452" w14:textId="73E8D2B4" w:rsidR="00FC2269" w:rsidRDefault="3D1A1F7B" w:rsidP="00263D6C">
            <w:r w:rsidRPr="3C6C65BD">
              <w:rPr>
                <w:rFonts w:ascii="Aptos" w:hAnsi="Aptos" w:cs="Arial"/>
                <w:i/>
                <w:iCs/>
                <w:sz w:val="20"/>
                <w:szCs w:val="20"/>
              </w:rPr>
              <w:t>Justification</w:t>
            </w:r>
            <w:r w:rsidRPr="3C6C65BD">
              <w:rPr>
                <w:rFonts w:ascii="Aptos" w:hAnsi="Aptos" w:cs="Arial"/>
                <w:sz w:val="20"/>
                <w:szCs w:val="20"/>
              </w:rPr>
              <w:t xml:space="preserve">:      </w:t>
            </w:r>
          </w:p>
          <w:p w14:paraId="1C2AB6CD" w14:textId="3D4DD5D0" w:rsidR="00FC2269" w:rsidRDefault="33AA6F11" w:rsidP="3C6C65BD">
            <w:pPr>
              <w:spacing w:line="259" w:lineRule="auto"/>
            </w:pPr>
            <w:r w:rsidRPr="3C6C65BD">
              <w:rPr>
                <w:rFonts w:ascii="Aptos" w:hAnsi="Aptos" w:cs="Arial"/>
                <w:sz w:val="20"/>
                <w:szCs w:val="20"/>
              </w:rPr>
              <w:t xml:space="preserve">Intergenomic nucleotide similarities calculated using VIRIDIC demonstrate that phages within the genera </w:t>
            </w:r>
            <w:r w:rsidR="4F81ABC8" w:rsidRPr="3C6C65BD">
              <w:rPr>
                <w:rFonts w:ascii="Aptos" w:hAnsi="Aptos" w:cs="Arial"/>
                <w:i/>
                <w:iCs/>
                <w:sz w:val="20"/>
                <w:szCs w:val="20"/>
              </w:rPr>
              <w:t xml:space="preserve">Bippervirus </w:t>
            </w:r>
            <w:r w:rsidR="4F81ABC8" w:rsidRPr="3C6C65BD">
              <w:rPr>
                <w:rFonts w:ascii="Aptos" w:hAnsi="Aptos" w:cs="Arial"/>
                <w:sz w:val="20"/>
                <w:szCs w:val="20"/>
              </w:rPr>
              <w:t xml:space="preserve">and </w:t>
            </w:r>
            <w:r w:rsidR="4F81ABC8" w:rsidRPr="3C6C65BD">
              <w:rPr>
                <w:rFonts w:ascii="Aptos" w:hAnsi="Aptos" w:cs="Arial"/>
                <w:i/>
                <w:iCs/>
                <w:sz w:val="20"/>
                <w:szCs w:val="20"/>
              </w:rPr>
              <w:t xml:space="preserve">Typhavirus </w:t>
            </w:r>
            <w:r w:rsidRPr="3C6C65BD">
              <w:rPr>
                <w:rFonts w:ascii="Aptos" w:hAnsi="Aptos" w:cs="Arial"/>
                <w:sz w:val="20"/>
                <w:szCs w:val="20"/>
              </w:rPr>
              <w:t xml:space="preserve">share at minimum </w:t>
            </w:r>
            <w:r w:rsidR="4503E06D" w:rsidRPr="3C6C65BD">
              <w:rPr>
                <w:rFonts w:ascii="Aptos" w:hAnsi="Aptos" w:cs="Arial"/>
                <w:sz w:val="20"/>
                <w:szCs w:val="20"/>
              </w:rPr>
              <w:t>53</w:t>
            </w:r>
            <w:r w:rsidRPr="3C6C65BD">
              <w:rPr>
                <w:rFonts w:ascii="Aptos" w:hAnsi="Aptos" w:cs="Arial"/>
                <w:sz w:val="20"/>
                <w:szCs w:val="20"/>
              </w:rPr>
              <w:t xml:space="preserve">% similarity. Each of the proposed genera and species exhibit similarity which satisfy the demarcation criteria established by the Bacterial Viruses Subcommittee. Phylogenetic analyses of the </w:t>
            </w:r>
            <w:r w:rsidR="7248374E" w:rsidRPr="3C6C65BD">
              <w:rPr>
                <w:rFonts w:ascii="Aptos" w:hAnsi="Aptos" w:cs="Arial"/>
                <w:sz w:val="20"/>
                <w:szCs w:val="20"/>
              </w:rPr>
              <w:t>large terminase subunit protein</w:t>
            </w:r>
            <w:r w:rsidRPr="3C6C65BD">
              <w:rPr>
                <w:rFonts w:ascii="Aptos" w:hAnsi="Aptos" w:cs="Arial"/>
                <w:sz w:val="20"/>
                <w:szCs w:val="20"/>
              </w:rPr>
              <w:t xml:space="preserve"> and TBLASTX distance analysis using ViPTree demonstrate that these </w:t>
            </w:r>
            <w:r w:rsidR="79F7AE27" w:rsidRPr="3C6C65BD">
              <w:rPr>
                <w:rFonts w:ascii="Aptos" w:hAnsi="Aptos" w:cs="Arial"/>
                <w:i/>
                <w:iCs/>
                <w:sz w:val="20"/>
                <w:szCs w:val="20"/>
              </w:rPr>
              <w:t>Mycobacterium</w:t>
            </w:r>
            <w:r w:rsidRPr="3C6C65BD">
              <w:rPr>
                <w:rFonts w:ascii="Aptos" w:hAnsi="Aptos" w:cs="Arial"/>
                <w:sz w:val="20"/>
                <w:szCs w:val="20"/>
              </w:rPr>
              <w:t xml:space="preserve"> </w:t>
            </w:r>
            <w:r w:rsidR="4B3A4F47" w:rsidRPr="3C6C65BD">
              <w:rPr>
                <w:rFonts w:ascii="Aptos" w:hAnsi="Aptos" w:cs="Arial"/>
                <w:sz w:val="20"/>
                <w:szCs w:val="20"/>
              </w:rPr>
              <w:t>phages</w:t>
            </w:r>
            <w:r w:rsidRPr="3C6C65BD">
              <w:rPr>
                <w:rFonts w:ascii="Aptos" w:hAnsi="Aptos" w:cs="Arial"/>
                <w:sz w:val="20"/>
                <w:szCs w:val="20"/>
              </w:rPr>
              <w:t xml:space="preserve"> form a cohesive clade at the subfamily level. CoreGenes3.5 analysis revealed that representative species of this subfamily all share 87 common proteins.</w:t>
            </w:r>
          </w:p>
          <w:p w14:paraId="18507DF4" w14:textId="61522484" w:rsidR="00FC2269" w:rsidRDefault="00FC2269" w:rsidP="3C6C65BD">
            <w:pPr>
              <w:rPr>
                <w:rFonts w:ascii="Aptos" w:hAnsi="Aptos" w:cs="Arial"/>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3C6C65BD">
        <w:tc>
          <w:tcPr>
            <w:tcW w:w="8926" w:type="dxa"/>
            <w:shd w:val="clear" w:color="auto" w:fill="F2F2F2" w:themeFill="background1" w:themeFillShade="F2"/>
          </w:tcPr>
          <w:p w14:paraId="4ECF6668" w14:textId="327ECF9D" w:rsidR="00A77B8E" w:rsidRDefault="00A77B8E" w:rsidP="009C178E">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3C6C65BD">
        <w:tc>
          <w:tcPr>
            <w:tcW w:w="8926" w:type="dxa"/>
          </w:tcPr>
          <w:p w14:paraId="49680848" w14:textId="77777777" w:rsidR="00A77B8E" w:rsidRDefault="00A77B8E" w:rsidP="00DD58AA">
            <w:pPr>
              <w:rPr>
                <w:rFonts w:ascii="Aptos" w:hAnsi="Aptos" w:cs="Arial"/>
                <w:b/>
                <w:i/>
                <w:sz w:val="20"/>
                <w:szCs w:val="20"/>
              </w:rPr>
            </w:pPr>
          </w:p>
          <w:p w14:paraId="5B74D233" w14:textId="75C7A5A1" w:rsidR="00A77B8E" w:rsidRDefault="799AB7AA" w:rsidP="00263D6C">
            <w:r w:rsidRPr="3C6C65BD">
              <w:rPr>
                <w:rFonts w:ascii="Aptos" w:hAnsi="Aptos" w:cs="Arial"/>
                <w:i/>
                <w:iCs/>
                <w:sz w:val="20"/>
                <w:szCs w:val="20"/>
              </w:rPr>
              <w:t>Description of current taxonomy</w:t>
            </w:r>
            <w:r w:rsidRPr="3C6C65BD">
              <w:rPr>
                <w:rFonts w:ascii="Aptos" w:hAnsi="Aptos" w:cs="Arial"/>
                <w:sz w:val="20"/>
                <w:szCs w:val="20"/>
              </w:rPr>
              <w:t xml:space="preserve">:       </w:t>
            </w:r>
          </w:p>
          <w:p w14:paraId="5B7F30E3" w14:textId="0E6C1E5F" w:rsidR="00A77B8E" w:rsidRDefault="799AB7AA" w:rsidP="3C6C65BD">
            <w:pPr>
              <w:spacing w:line="259" w:lineRule="auto"/>
              <w:rPr>
                <w:rFonts w:ascii="Aptos" w:hAnsi="Aptos" w:cs="Arial"/>
                <w:sz w:val="20"/>
                <w:szCs w:val="20"/>
              </w:rPr>
            </w:pPr>
            <w:r w:rsidRPr="3C6C65BD">
              <w:rPr>
                <w:rFonts w:ascii="Aptos" w:hAnsi="Aptos" w:cs="Arial"/>
                <w:sz w:val="20"/>
                <w:szCs w:val="20"/>
              </w:rPr>
              <w:t xml:space="preserve">The ICTV has recognized two genera that contain species assigned to Cluster Y of the Actinobacteriophages Database; </w:t>
            </w:r>
            <w:r w:rsidRPr="3C6C65BD">
              <w:rPr>
                <w:rFonts w:ascii="Aptos" w:hAnsi="Aptos" w:cs="Arial"/>
                <w:i/>
                <w:iCs/>
                <w:sz w:val="20"/>
                <w:szCs w:val="20"/>
              </w:rPr>
              <w:t>Bippervirus</w:t>
            </w:r>
            <w:r w:rsidRPr="3C6C65BD">
              <w:rPr>
                <w:rFonts w:ascii="Aptos" w:hAnsi="Aptos" w:cs="Arial"/>
                <w:sz w:val="20"/>
                <w:szCs w:val="20"/>
              </w:rPr>
              <w:t xml:space="preserve"> </w:t>
            </w:r>
            <w:r w:rsidRPr="3C6C65BD">
              <w:rPr>
                <w:rFonts w:ascii="Aptos" w:eastAsia="Aptos" w:hAnsi="Aptos" w:cs="Aptos"/>
                <w:sz w:val="20"/>
                <w:szCs w:val="20"/>
              </w:rPr>
              <w:t>(</w:t>
            </w:r>
            <w:hyperlink r:id="rId11">
              <w:r w:rsidRPr="3C6C65BD">
                <w:rPr>
                  <w:rStyle w:val="Hyperlink"/>
                  <w:rFonts w:ascii="Aptos" w:eastAsia="Aptos" w:hAnsi="Aptos" w:cs="Aptos"/>
                  <w:color w:val="0068F0"/>
                  <w:sz w:val="20"/>
                  <w:szCs w:val="20"/>
                </w:rPr>
                <w:t>2021.011B.R.Bippervirus)</w:t>
              </w:r>
            </w:hyperlink>
            <w:r w:rsidRPr="3C6C65BD">
              <w:rPr>
                <w:rFonts w:ascii="Aptos" w:eastAsia="Aptos" w:hAnsi="Aptos" w:cs="Aptos"/>
                <w:sz w:val="20"/>
                <w:szCs w:val="20"/>
              </w:rPr>
              <w:t xml:space="preserve"> </w:t>
            </w:r>
            <w:r w:rsidRPr="3C6C65BD">
              <w:rPr>
                <w:rFonts w:ascii="Aptos" w:hAnsi="Aptos" w:cs="Arial"/>
                <w:sz w:val="20"/>
                <w:szCs w:val="20"/>
              </w:rPr>
              <w:t xml:space="preserve">and </w:t>
            </w:r>
            <w:r w:rsidRPr="3C6C65BD">
              <w:rPr>
                <w:rFonts w:ascii="Aptos" w:hAnsi="Aptos" w:cs="Arial"/>
                <w:i/>
                <w:iCs/>
                <w:sz w:val="20"/>
                <w:szCs w:val="20"/>
              </w:rPr>
              <w:t xml:space="preserve">Typhavirus </w:t>
            </w:r>
            <w:r w:rsidRPr="3C6C65BD">
              <w:rPr>
                <w:rFonts w:ascii="Aptos" w:hAnsi="Aptos" w:cs="Arial"/>
                <w:sz w:val="20"/>
                <w:szCs w:val="20"/>
              </w:rPr>
              <w:t>(2021.087B.R.Typhavirus).</w:t>
            </w:r>
          </w:p>
          <w:p w14:paraId="62E892DA" w14:textId="77777777" w:rsidR="00A77B8E" w:rsidRDefault="00A77B8E" w:rsidP="3C6C65BD">
            <w:pPr>
              <w:rPr>
                <w:rFonts w:ascii="Aptos" w:hAnsi="Aptos" w:cs="Arial"/>
                <w:sz w:val="20"/>
                <w:szCs w:val="20"/>
              </w:rPr>
            </w:pPr>
          </w:p>
          <w:p w14:paraId="254EB40A" w14:textId="62BD2031" w:rsidR="00A77B8E" w:rsidRDefault="799AB7AA" w:rsidP="00263D6C">
            <w:r w:rsidRPr="3C6C65BD">
              <w:rPr>
                <w:rFonts w:ascii="Aptos" w:hAnsi="Aptos" w:cs="Arial"/>
                <w:i/>
                <w:iCs/>
                <w:sz w:val="20"/>
                <w:szCs w:val="20"/>
              </w:rPr>
              <w:t>Proposed</w:t>
            </w:r>
            <w:r w:rsidRPr="3C6C65BD">
              <w:rPr>
                <w:rFonts w:ascii="Aptos" w:hAnsi="Aptos" w:cs="Arial"/>
                <w:sz w:val="20"/>
                <w:szCs w:val="20"/>
              </w:rPr>
              <w:t xml:space="preserve"> </w:t>
            </w:r>
            <w:r w:rsidRPr="3C6C65BD">
              <w:rPr>
                <w:rFonts w:ascii="Aptos" w:hAnsi="Aptos" w:cs="Arial"/>
                <w:i/>
                <w:iCs/>
                <w:sz w:val="20"/>
                <w:szCs w:val="20"/>
              </w:rPr>
              <w:t>taxonomic change(s)</w:t>
            </w:r>
            <w:r w:rsidRPr="3C6C65BD">
              <w:rPr>
                <w:rFonts w:ascii="Aptos" w:hAnsi="Aptos" w:cs="Arial"/>
                <w:sz w:val="20"/>
                <w:szCs w:val="20"/>
              </w:rPr>
              <w:t xml:space="preserve">:     </w:t>
            </w:r>
          </w:p>
          <w:p w14:paraId="0C973017" w14:textId="0696FB1A" w:rsidR="00A77B8E" w:rsidRDefault="799AB7AA" w:rsidP="3C6C65BD">
            <w:pPr>
              <w:spacing w:line="259" w:lineRule="auto"/>
              <w:rPr>
                <w:rFonts w:ascii="Aptos" w:hAnsi="Aptos" w:cs="Arial"/>
                <w:sz w:val="20"/>
                <w:szCs w:val="20"/>
              </w:rPr>
            </w:pPr>
            <w:r w:rsidRPr="3C6C65BD">
              <w:rPr>
                <w:rFonts w:ascii="Aptos" w:hAnsi="Aptos" w:cs="Arial"/>
                <w:sz w:val="20"/>
                <w:szCs w:val="20"/>
              </w:rPr>
              <w:t>We propose to create a new subfamily called "</w:t>
            </w:r>
            <w:r w:rsidRPr="3C6C65BD">
              <w:rPr>
                <w:rFonts w:ascii="Aptos" w:hAnsi="Aptos" w:cs="Arial"/>
                <w:i/>
                <w:iCs/>
                <w:sz w:val="20"/>
                <w:szCs w:val="20"/>
              </w:rPr>
              <w:t>Mankiewiczv</w:t>
            </w:r>
            <w:r w:rsidRPr="3C6C65BD">
              <w:rPr>
                <w:rFonts w:ascii="Aptos" w:hAnsi="Aptos" w:cs="Arial"/>
                <w:sz w:val="20"/>
                <w:szCs w:val="20"/>
              </w:rPr>
              <w:t xml:space="preserve">irinae" and move the genera </w:t>
            </w:r>
            <w:r w:rsidRPr="3C6C65BD">
              <w:rPr>
                <w:rFonts w:ascii="Aptos" w:hAnsi="Aptos" w:cs="Arial"/>
                <w:i/>
                <w:iCs/>
                <w:sz w:val="20"/>
                <w:szCs w:val="20"/>
              </w:rPr>
              <w:t>Bippervirus</w:t>
            </w:r>
            <w:r w:rsidRPr="3C6C65BD">
              <w:rPr>
                <w:rFonts w:ascii="Aptos" w:hAnsi="Aptos" w:cs="Arial"/>
                <w:sz w:val="20"/>
                <w:szCs w:val="20"/>
              </w:rPr>
              <w:t xml:space="preserve"> and </w:t>
            </w:r>
            <w:r w:rsidRPr="3C6C65BD">
              <w:rPr>
                <w:rFonts w:ascii="Aptos" w:hAnsi="Aptos" w:cs="Arial"/>
                <w:i/>
                <w:iCs/>
                <w:sz w:val="20"/>
                <w:szCs w:val="20"/>
              </w:rPr>
              <w:t xml:space="preserve">Typhavirus </w:t>
            </w:r>
            <w:r w:rsidRPr="3C6C65BD">
              <w:rPr>
                <w:rFonts w:ascii="Aptos" w:hAnsi="Aptos" w:cs="Arial"/>
                <w:sz w:val="20"/>
                <w:szCs w:val="20"/>
              </w:rPr>
              <w:t xml:space="preserve">into the subfamily along with one new species. </w:t>
            </w:r>
          </w:p>
          <w:p w14:paraId="477C78CD" w14:textId="77777777" w:rsidR="00A77B8E" w:rsidRDefault="00A77B8E" w:rsidP="3C6C65BD">
            <w:pPr>
              <w:rPr>
                <w:rFonts w:ascii="Aptos" w:hAnsi="Aptos" w:cs="Arial"/>
                <w:sz w:val="20"/>
                <w:szCs w:val="20"/>
              </w:rPr>
            </w:pPr>
          </w:p>
          <w:p w14:paraId="5DA8C88A" w14:textId="77777777" w:rsidR="00A77B8E" w:rsidRDefault="799AB7AA" w:rsidP="3C6C65BD">
            <w:pPr>
              <w:rPr>
                <w:rFonts w:ascii="Aptos" w:hAnsi="Aptos" w:cs="Arial"/>
                <w:sz w:val="20"/>
                <w:szCs w:val="20"/>
              </w:rPr>
            </w:pPr>
            <w:r w:rsidRPr="3C6C65BD">
              <w:rPr>
                <w:rFonts w:ascii="Aptos" w:hAnsi="Aptos" w:cs="Arial"/>
                <w:i/>
                <w:iCs/>
                <w:sz w:val="20"/>
                <w:szCs w:val="20"/>
              </w:rPr>
              <w:t xml:space="preserve">Demarcation criteria for new taxon/taxa: </w:t>
            </w:r>
            <w:r w:rsidRPr="3C6C65BD">
              <w:rPr>
                <w:rFonts w:ascii="Aptos" w:hAnsi="Aptos" w:cs="Arial"/>
                <w:sz w:val="20"/>
                <w:szCs w:val="20"/>
              </w:rPr>
              <w:t>Subfamily demarcation criteria: Subfamilies are to be created when two or more genera are related below the family level. In practical terms, this usually means that they share a low degree of sequence similarity (usually about 40-50%) and that the genera form a clade in a marker tree phylogeny [6].</w:t>
            </w:r>
          </w:p>
          <w:p w14:paraId="496D2311" w14:textId="77777777" w:rsidR="00A77B8E" w:rsidRDefault="00A77B8E" w:rsidP="3C6C65BD">
            <w:pPr>
              <w:rPr>
                <w:rFonts w:ascii="Aptos" w:hAnsi="Aptos" w:cs="Arial"/>
                <w:sz w:val="20"/>
                <w:szCs w:val="20"/>
              </w:rPr>
            </w:pPr>
          </w:p>
          <w:p w14:paraId="18DDB071" w14:textId="77777777" w:rsidR="00A77B8E" w:rsidRDefault="799AB7AA" w:rsidP="3C6C65BD">
            <w:pPr>
              <w:rPr>
                <w:rFonts w:ascii="Aptos" w:hAnsi="Aptos" w:cs="Arial"/>
                <w:sz w:val="20"/>
                <w:szCs w:val="20"/>
              </w:rPr>
            </w:pPr>
            <w:r w:rsidRPr="3C6C65BD">
              <w:rPr>
                <w:rFonts w:ascii="Aptos" w:hAnsi="Aptos" w:cs="Arial"/>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2AEFCF7F" w14:textId="77777777" w:rsidR="00A77B8E" w:rsidRDefault="00A77B8E" w:rsidP="3C6C65BD">
            <w:pPr>
              <w:rPr>
                <w:rFonts w:ascii="Aptos" w:hAnsi="Aptos" w:cs="Arial"/>
                <w:sz w:val="20"/>
                <w:szCs w:val="20"/>
              </w:rPr>
            </w:pPr>
          </w:p>
          <w:p w14:paraId="62969232" w14:textId="77777777" w:rsidR="00A77B8E" w:rsidRDefault="799AB7AA" w:rsidP="3C6C65BD">
            <w:pPr>
              <w:rPr>
                <w:rFonts w:ascii="Aptos" w:hAnsi="Aptos" w:cs="Arial"/>
                <w:sz w:val="20"/>
                <w:szCs w:val="20"/>
              </w:rPr>
            </w:pPr>
            <w:r w:rsidRPr="3C6C65BD">
              <w:rPr>
                <w:rFonts w:ascii="Aptos" w:hAnsi="Aptos" w:cs="Arial"/>
                <w:sz w:val="20"/>
                <w:szCs w:val="20"/>
              </w:rPr>
              <w:lastRenderedPageBreak/>
              <w:t>Species demarcation criteria: A demarcation value of 95% intergenomic similarity was used to define different species according to intergenomic similarity. Members of the same genus have &gt;95% intergenomic similarity [6].</w:t>
            </w:r>
          </w:p>
          <w:p w14:paraId="67B889AA" w14:textId="77777777" w:rsidR="00A77B8E" w:rsidRDefault="00A77B8E" w:rsidP="3C6C65BD">
            <w:pPr>
              <w:rPr>
                <w:rFonts w:ascii="Aptos" w:hAnsi="Aptos" w:cs="Arial"/>
                <w:i/>
                <w:iCs/>
                <w:sz w:val="20"/>
                <w:szCs w:val="20"/>
              </w:rPr>
            </w:pPr>
          </w:p>
          <w:p w14:paraId="2BDA8DFD" w14:textId="73E8D2B4" w:rsidR="00A77B8E" w:rsidRDefault="799AB7AA" w:rsidP="00263D6C">
            <w:r w:rsidRPr="3C6C65BD">
              <w:rPr>
                <w:rFonts w:ascii="Aptos" w:hAnsi="Aptos" w:cs="Arial"/>
                <w:i/>
                <w:iCs/>
                <w:sz w:val="20"/>
                <w:szCs w:val="20"/>
              </w:rPr>
              <w:t>Justification</w:t>
            </w:r>
            <w:r w:rsidRPr="3C6C65BD">
              <w:rPr>
                <w:rFonts w:ascii="Aptos" w:hAnsi="Aptos" w:cs="Arial"/>
                <w:sz w:val="20"/>
                <w:szCs w:val="20"/>
              </w:rPr>
              <w:t xml:space="preserve">:      </w:t>
            </w:r>
          </w:p>
          <w:p w14:paraId="5C43FE91" w14:textId="3290453A" w:rsidR="00A77B8E" w:rsidRDefault="799AB7AA" w:rsidP="3C6C65BD">
            <w:pPr>
              <w:spacing w:line="259" w:lineRule="auto"/>
            </w:pPr>
            <w:r w:rsidRPr="3C6C65BD">
              <w:rPr>
                <w:rFonts w:ascii="Aptos" w:hAnsi="Aptos" w:cs="Arial"/>
                <w:sz w:val="20"/>
                <w:szCs w:val="20"/>
              </w:rPr>
              <w:t xml:space="preserve">Intergenomic nucleotide similarities calculated using VIRIDIC demonstrate that phages within the genera </w:t>
            </w:r>
            <w:r w:rsidRPr="3C6C65BD">
              <w:rPr>
                <w:rFonts w:ascii="Aptos" w:hAnsi="Aptos" w:cs="Arial"/>
                <w:i/>
                <w:iCs/>
                <w:sz w:val="20"/>
                <w:szCs w:val="20"/>
              </w:rPr>
              <w:t xml:space="preserve">Bippervirus </w:t>
            </w:r>
            <w:r w:rsidRPr="3C6C65BD">
              <w:rPr>
                <w:rFonts w:ascii="Aptos" w:hAnsi="Aptos" w:cs="Arial"/>
                <w:sz w:val="20"/>
                <w:szCs w:val="20"/>
              </w:rPr>
              <w:t xml:space="preserve">and </w:t>
            </w:r>
            <w:r w:rsidRPr="3C6C65BD">
              <w:rPr>
                <w:rFonts w:ascii="Aptos" w:hAnsi="Aptos" w:cs="Arial"/>
                <w:i/>
                <w:iCs/>
                <w:sz w:val="20"/>
                <w:szCs w:val="20"/>
              </w:rPr>
              <w:t xml:space="preserve">Typhavirus </w:t>
            </w:r>
            <w:r w:rsidRPr="3C6C65BD">
              <w:rPr>
                <w:rFonts w:ascii="Aptos" w:hAnsi="Aptos" w:cs="Arial"/>
                <w:sz w:val="20"/>
                <w:szCs w:val="20"/>
              </w:rPr>
              <w:t xml:space="preserve">share at minimum 53% similarity (Figure 1). Each of the proposed genera and species exhibit similarity which satisfy the demarcation criteria established by the Bacterial Viruses Subcommittee. Phylogenetic analyses of the large terminase subunit protein (Figure 3) and TBLASTX distance analysis (Figure 2) using ViPTree demonstrate that these </w:t>
            </w:r>
            <w:r w:rsidRPr="3C6C65BD">
              <w:rPr>
                <w:rFonts w:ascii="Aptos" w:hAnsi="Aptos" w:cs="Arial"/>
                <w:i/>
                <w:iCs/>
                <w:sz w:val="20"/>
                <w:szCs w:val="20"/>
              </w:rPr>
              <w:t>Mycobacterium</w:t>
            </w:r>
            <w:r w:rsidRPr="3C6C65BD">
              <w:rPr>
                <w:rFonts w:ascii="Aptos" w:hAnsi="Aptos" w:cs="Arial"/>
                <w:sz w:val="20"/>
                <w:szCs w:val="20"/>
              </w:rPr>
              <w:t xml:space="preserve"> phages form a cohesive clade at the subfamily level. CoreGenes3.5 analysis revealed that representative species of this subfamily all share 87 common proteins.</w:t>
            </w:r>
          </w:p>
          <w:p w14:paraId="6439F55D" w14:textId="789A0DB2" w:rsidR="00A77B8E" w:rsidRDefault="00A77B8E" w:rsidP="3C6C65BD">
            <w:pPr>
              <w:rPr>
                <w:rFonts w:ascii="Aptos" w:hAnsi="Aptos" w:cs="Arial"/>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C071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C0710C">
        <w:tc>
          <w:tcPr>
            <w:tcW w:w="8926" w:type="dxa"/>
          </w:tcPr>
          <w:p w14:paraId="60E595FF" w14:textId="26286E21" w:rsidR="00C0710C" w:rsidRDefault="00C0710C" w:rsidP="00C0710C">
            <w:pPr>
              <w:rPr>
                <w:rFonts w:ascii="Aptos" w:hAnsi="Aptos" w:cs="Arial"/>
                <w:sz w:val="20"/>
                <w:szCs w:val="20"/>
              </w:rPr>
            </w:pPr>
            <w:r>
              <w:rPr>
                <w:rFonts w:ascii="Aptos" w:hAnsi="Aptos" w:cs="Arial"/>
                <w:sz w:val="20"/>
                <w:szCs w:val="20"/>
              </w:rPr>
              <w:t>1. Moraru C, Varsani A, Kropinski AM. VIRIDIC-A Novel Tool to Calculate the Intergenomic Similarities of Prokaryote-Infecting Viruses. Viruses. 2020 Nov 6;12(11):1268. doi: 10.3390/v12111268. PMID: 33172115; PMCID: PMC7694805. http://kronos.icbm.uni-oldenburg.de/viridic/</w:t>
            </w:r>
          </w:p>
          <w:p w14:paraId="637B5479" w14:textId="77777777" w:rsidR="00C0710C" w:rsidRDefault="00C0710C" w:rsidP="00C0710C">
            <w:pPr>
              <w:rPr>
                <w:rFonts w:ascii="Aptos" w:hAnsi="Aptos" w:cs="Arial"/>
                <w:sz w:val="20"/>
                <w:szCs w:val="20"/>
              </w:rPr>
            </w:pPr>
            <w:r>
              <w:rPr>
                <w:rFonts w:ascii="Aptos" w:hAnsi="Aptos" w:cs="Arial"/>
                <w:sz w:val="20"/>
                <w:szCs w:val="20"/>
              </w:rPr>
              <w:t xml:space="preserve">2. Nishimura Y, Yoshida T, Kuronishi M, Uehara H, Ogata H, Goto S. ViPTree: the viral proteomic tree server. Bioinformatics. 2017; 33(15):2379-2380. doi:10.1093/bioinformatics/btx157. PubMed PMID: 28379287. https://www.genome.jp/viptree/ </w:t>
            </w:r>
          </w:p>
          <w:p w14:paraId="5398F597" w14:textId="67337C7D" w:rsidR="00C0710C" w:rsidRDefault="00C0710C" w:rsidP="00C0710C">
            <w:pPr>
              <w:rPr>
                <w:rFonts w:ascii="Aptos" w:hAnsi="Aptos" w:cs="Arial"/>
                <w:sz w:val="20"/>
                <w:szCs w:val="20"/>
              </w:rPr>
            </w:pPr>
            <w:r>
              <w:rPr>
                <w:rFonts w:ascii="Aptos" w:hAnsi="Aptos" w:cs="Arial"/>
                <w:sz w:val="20"/>
                <w:szCs w:val="20"/>
              </w:rPr>
              <w:t>3. Rohwer F, Edwards R. The Phage Proteomic Tree: a genome-based taxonomy for phage. J Bacteriol. 2002 Aug;184(16):4529-35. PubMed PMID: 12142423</w:t>
            </w:r>
            <w:r>
              <w:rPr>
                <w:rFonts w:ascii="Aptos" w:hAnsi="Aptos" w:cs="Arial"/>
                <w:sz w:val="20"/>
                <w:szCs w:val="20"/>
              </w:rPr>
              <w:tab/>
              <w:t xml:space="preserve"> </w:t>
            </w:r>
          </w:p>
          <w:p w14:paraId="2E1279E6" w14:textId="34878B45" w:rsidR="00C0710C" w:rsidRDefault="00C0710C" w:rsidP="00C0710C">
            <w:pPr>
              <w:rPr>
                <w:rFonts w:ascii="Aptos" w:hAnsi="Aptos" w:cs="Arial"/>
                <w:sz w:val="20"/>
                <w:szCs w:val="20"/>
              </w:rPr>
            </w:pPr>
            <w:r>
              <w:rPr>
                <w:rFonts w:ascii="Aptos" w:hAnsi="Aptos" w:cs="Arial"/>
                <w:sz w:val="20"/>
                <w:szCs w:val="20"/>
              </w:rPr>
              <w:t>4. Turner D, Reynolds D, Seto D, Mahadevan P. CoreGenes3.5: a webserver for the determination of core genes from sets of viral and small bacterial genomes. BMC Res Notes. 2013;6:140. doi: 10.1186/1756-0500-6-140.  PMID:   23566564.</w:t>
            </w:r>
          </w:p>
          <w:p w14:paraId="15DB3071" w14:textId="0F56DEF8" w:rsidR="00C0710C" w:rsidRDefault="00C0710C" w:rsidP="00C0710C">
            <w:pPr>
              <w:rPr>
                <w:rFonts w:ascii="Aptos" w:hAnsi="Aptos" w:cs="Arial"/>
                <w:sz w:val="20"/>
                <w:szCs w:val="20"/>
              </w:rPr>
            </w:pPr>
            <w:r>
              <w:rPr>
                <w:rFonts w:ascii="Aptos" w:hAnsi="Aptos" w:cs="Arial"/>
                <w:sz w:val="20"/>
                <w:szCs w:val="20"/>
              </w:rPr>
              <w:t>5.  Davis P, Seto D, Mahadevan P. CoreGenes5.0: An Updated User-Friendly Webserver for the Determination of Core Genes from Sets of Viral and Bacterial Genomes. Viruses. 2022 Nov 16;14(11):2534. doi: 10.3390/v14112534. PMID: 36423143; PMCID: PMC9693508.</w:t>
            </w:r>
          </w:p>
          <w:p w14:paraId="14DE2842" w14:textId="1FA2078E" w:rsidR="00C0710C" w:rsidRDefault="00C0710C" w:rsidP="00C0710C">
            <w:pPr>
              <w:rPr>
                <w:rFonts w:ascii="Aptos" w:hAnsi="Aptos" w:cs="Arial"/>
                <w:sz w:val="20"/>
                <w:szCs w:val="20"/>
              </w:rPr>
            </w:pPr>
            <w:r>
              <w:rPr>
                <w:rFonts w:ascii="Aptos" w:hAnsi="Aptos" w:cs="Arial"/>
                <w:sz w:val="20"/>
                <w:szCs w:val="20"/>
              </w:rPr>
              <w:t>6. Turner D, Kropinski AM, Adriaenssens EM. A Roadmap for Genome-Based Phage Taxonomy. Viruses. 2021 Mar 18;13(3):506. doi: 10.3390/v13030506. PMID: 33803862; PMCID: PMC8003253.</w:t>
            </w:r>
          </w:p>
          <w:p w14:paraId="29BB3136" w14:textId="77777777" w:rsidR="00C0710C" w:rsidRDefault="00C0710C" w:rsidP="00C0710C">
            <w:pPr>
              <w:rPr>
                <w:rFonts w:ascii="Aptos" w:hAnsi="Aptos" w:cs="Arial"/>
                <w:sz w:val="20"/>
                <w:szCs w:val="20"/>
              </w:rPr>
            </w:pPr>
            <w:r>
              <w:rPr>
                <w:rFonts w:ascii="Aptos" w:hAnsi="Aptos" w:cs="Arial"/>
                <w:sz w:val="20"/>
                <w:szCs w:val="20"/>
              </w:rPr>
              <w:t>Lemoine F, Correia D, Lefort V, Doppelt-Azeroual O, Mareuil F, Cohen-Boulakia S, Gascuel O. NGPhylogeny.fr: new generation phylogenetic services for non-specialists. Nucleic Acids Res. 2019 Jul 2;47(W1):W260-W265. doi: 10.1093/nar/gkz303. PMID: 31028399; PMCID: PMC6602494.</w:t>
            </w:r>
          </w:p>
          <w:p w14:paraId="0D5BB82A" w14:textId="6DE5F83C" w:rsidR="00C0710C" w:rsidRDefault="00C0710C" w:rsidP="00C0710C">
            <w:pPr>
              <w:rPr>
                <w:rFonts w:ascii="Aptos" w:hAnsi="Aptos" w:cs="Arial"/>
                <w:sz w:val="20"/>
                <w:szCs w:val="20"/>
              </w:rPr>
            </w:pPr>
            <w:r>
              <w:rPr>
                <w:rFonts w:ascii="Aptos" w:hAnsi="Aptos" w:cs="Arial"/>
                <w:sz w:val="20"/>
                <w:szCs w:val="20"/>
              </w:rPr>
              <w:t>7.   Letunic I, Bork P. Interactive Tree Of Life (iTOL): an online tool for phylogenetic tree display and annotation. Bioinformatics. 2007 Jan 1;23(1):127-8. doi: 10.1093/bioinformatics/btl529. Epub 2006 Oct 18. PMID: 17050570.</w:t>
            </w:r>
          </w:p>
          <w:p w14:paraId="12B4EB0B" w14:textId="231090DC" w:rsidR="00C0710C" w:rsidRDefault="00C0710C" w:rsidP="00C0710C">
            <w:pPr>
              <w:rPr>
                <w:rFonts w:ascii="Aptos" w:hAnsi="Aptos" w:cs="Arial"/>
                <w:sz w:val="20"/>
                <w:szCs w:val="20"/>
              </w:rPr>
            </w:pPr>
            <w:r>
              <w:rPr>
                <w:rFonts w:ascii="Aptos" w:hAnsi="Aptos" w:cs="Arial"/>
                <w:sz w:val="20"/>
                <w:szCs w:val="20"/>
              </w:rPr>
              <w:t>8.   Zhou T, Xu K, Zhao F, Liu W, Li L, Hua Z, Zhou X. itol.toolkit accelerates working with iTOL (Interactive Tree of Life) by an automated generation of annotation files. Bioinformatics. 2023 Jun 1;39(6):btad339. doi: 10.1093/bioinformatics/btad339. PMID: 37225402; PMCID: PMC10243930</w:t>
            </w:r>
          </w:p>
          <w:p w14:paraId="11D22677" w14:textId="640A2972" w:rsidR="00953FFE" w:rsidRPr="00BE4F5A" w:rsidRDefault="00C0710C" w:rsidP="00C0710C">
            <w:pPr>
              <w:rPr>
                <w:rFonts w:ascii="Aptos" w:hAnsi="Aptos" w:cs="Arial"/>
                <w:sz w:val="20"/>
                <w:szCs w:val="20"/>
              </w:rPr>
            </w:pPr>
            <w:r>
              <w:rPr>
                <w:rFonts w:ascii="Aptos" w:hAnsi="Aptos" w:cs="Arial"/>
                <w:sz w:val="20"/>
                <w:szCs w:val="20"/>
              </w:rPr>
              <w:t>9.</w:t>
            </w:r>
            <w:r>
              <w:rPr>
                <w:rFonts w:ascii="Aptos" w:hAnsi="Aptos"/>
                <w:sz w:val="20"/>
                <w:szCs w:val="20"/>
              </w:rPr>
              <w:t xml:space="preserve">   Dereeper A, Guignon V, Blanc G, Audic S, Buffet S, Chevenet F, Dufayard JF, Guindon S, Lefort V, Lescot M, Claverie JM, Gascuel O. Phylogeny.fr: robust phylogenetic analysis for the non-specialist. Nucleic Acids Res. 2008 Jul 1;36(Web Server issue):W465-9. doi: 10.1093/nar/gkn180. Epub 2008 Apr 19. PMID: 18424797; PMCID: PMC2447785.</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3C6C65BD">
        <w:trPr>
          <w:trHeight w:val="297"/>
        </w:trPr>
        <w:tc>
          <w:tcPr>
            <w:tcW w:w="8926" w:type="dxa"/>
            <w:gridSpan w:val="2"/>
            <w:shd w:val="clear" w:color="auto" w:fill="F2F2F2" w:themeFill="background1" w:themeFillShade="F2"/>
          </w:tcPr>
          <w:p w14:paraId="0823714E" w14:textId="0B916BD9"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3C6C65BD">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3C6C65BD">
        <w:trPr>
          <w:trHeight w:val="71"/>
        </w:trPr>
        <w:tc>
          <w:tcPr>
            <w:tcW w:w="2263" w:type="dxa"/>
          </w:tcPr>
          <w:p w14:paraId="1EBF10D0" w14:textId="17546512" w:rsidR="00FC2269" w:rsidRPr="00CF59EA" w:rsidRDefault="00FC2269" w:rsidP="3C6C65BD">
            <w:pPr>
              <w:rPr>
                <w:rFonts w:ascii="Aptos" w:hAnsi="Aptos" w:cs="Arial"/>
                <w:b/>
                <w:bCs/>
                <w:sz w:val="20"/>
                <w:szCs w:val="20"/>
              </w:rPr>
            </w:pPr>
          </w:p>
        </w:tc>
        <w:tc>
          <w:tcPr>
            <w:tcW w:w="6663" w:type="dxa"/>
          </w:tcPr>
          <w:p w14:paraId="22F4B256" w14:textId="28105E59" w:rsidR="00FC2269" w:rsidRPr="00CF59EA" w:rsidRDefault="00FC2269" w:rsidP="3C6C65BD">
            <w:pPr>
              <w:rPr>
                <w:rFonts w:ascii="Aptos" w:hAnsi="Aptos" w:cs="Arial"/>
                <w:b/>
                <w:bCs/>
                <w:sz w:val="20"/>
                <w:szCs w:val="20"/>
              </w:rPr>
            </w:pPr>
          </w:p>
        </w:tc>
      </w:tr>
      <w:tr w:rsidR="00FC2269" w:rsidRPr="009F7856" w14:paraId="1669401A" w14:textId="77777777" w:rsidTr="3C6C65BD">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189F27C7"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3484B7A9" w14:textId="655275EC" w:rsidR="00411081" w:rsidRDefault="006A573A" w:rsidP="004B151F">
      <w:pPr>
        <w:rPr>
          <w:rFonts w:ascii="Aptos" w:hAnsi="Aptos"/>
          <w:b/>
          <w:bCs/>
        </w:rPr>
      </w:pPr>
      <w:r>
        <w:rPr>
          <w:rFonts w:ascii="Aptos" w:hAnsi="Aptos"/>
          <w:b/>
          <w:bCs/>
          <w:noProof/>
        </w:rPr>
        <w:drawing>
          <wp:inline distT="0" distB="0" distL="0" distR="0" wp14:anchorId="2782DBB7" wp14:editId="4BE59D91">
            <wp:extent cx="6261422" cy="3460928"/>
            <wp:effectExtent l="0" t="0" r="6350" b="6350"/>
            <wp:docPr id="183967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67257" name="Picture 183967257"/>
                    <pic:cNvPicPr/>
                  </pic:nvPicPr>
                  <pic:blipFill>
                    <a:blip r:embed="rId12">
                      <a:extLst>
                        <a:ext uri="{28A0092B-C50C-407E-A947-70E740481C1C}">
                          <a14:useLocalDpi xmlns:a14="http://schemas.microsoft.com/office/drawing/2010/main" val="0"/>
                        </a:ext>
                      </a:extLst>
                    </a:blip>
                    <a:stretch>
                      <a:fillRect/>
                    </a:stretch>
                  </pic:blipFill>
                  <pic:spPr>
                    <a:xfrm>
                      <a:off x="0" y="0"/>
                      <a:ext cx="6261422" cy="3460928"/>
                    </a:xfrm>
                    <a:prstGeom prst="rect">
                      <a:avLst/>
                    </a:prstGeom>
                  </pic:spPr>
                </pic:pic>
              </a:graphicData>
            </a:graphic>
          </wp:inline>
        </w:drawing>
      </w:r>
    </w:p>
    <w:p w14:paraId="633E73FA" w14:textId="77777777" w:rsidR="00411081" w:rsidRDefault="00411081" w:rsidP="004B151F">
      <w:pPr>
        <w:rPr>
          <w:rFonts w:ascii="Aptos" w:hAnsi="Aptos"/>
          <w:b/>
          <w:bCs/>
        </w:rPr>
      </w:pPr>
    </w:p>
    <w:p w14:paraId="382DE6D1" w14:textId="6286AA41" w:rsidR="004B151F" w:rsidRDefault="004B151F" w:rsidP="004B151F">
      <w:pPr>
        <w:rPr>
          <w:rFonts w:ascii="Aptos" w:hAnsi="Aptos"/>
          <w:b/>
          <w:bCs/>
        </w:rPr>
      </w:pPr>
      <w:r>
        <w:rPr>
          <w:rFonts w:ascii="Aptos" w:hAnsi="Aptos"/>
          <w:b/>
          <w:bCs/>
        </w:rPr>
        <w:t xml:space="preserve">Figure 1. </w:t>
      </w:r>
      <w:r>
        <w:rPr>
          <w:rFonts w:ascii="Aptos" w:hAnsi="Aptos"/>
        </w:rPr>
        <w:t xml:space="preserve">VIRIDIC heatmap of this group of phages.   VIRIDIC (Virus Intergenomic Distance Calculator; VIRIDIC (Virus Intergenomic Distance Calculator; [1]; http://rhea.icbm.uni-oldenburg.de/VIRIDIC/) computes pairwise intergenomic distances/similarities amongst phage genomes. Data values which are bordered in black correspond to strains.  Abbreviations: phg = phage; Pseu = </w:t>
      </w:r>
      <w:r>
        <w:rPr>
          <w:rFonts w:ascii="Aptos" w:hAnsi="Aptos"/>
          <w:i/>
          <w:iCs/>
        </w:rPr>
        <w:t>Pseudomonas</w:t>
      </w:r>
      <w:r>
        <w:rPr>
          <w:rFonts w:ascii="Aptos" w:hAnsi="Aptos"/>
        </w:rPr>
        <w:t>.</w:t>
      </w:r>
      <w:r>
        <w:rPr>
          <w:rFonts w:ascii="Aptos" w:hAnsi="Aptos"/>
          <w:b/>
          <w:bCs/>
        </w:rPr>
        <w:t xml:space="preserve">  </w:t>
      </w:r>
      <w:r>
        <w:rPr>
          <w:rFonts w:ascii="Aptos" w:hAnsi="Aptos"/>
        </w:rPr>
        <w:t>Because this diagram is somewhat difficult to read we have attached the full-sized Excel spread sheet.</w:t>
      </w:r>
    </w:p>
    <w:p w14:paraId="0DDEC034" w14:textId="4E9DE6C4" w:rsidR="004B151F" w:rsidRPr="006A573A" w:rsidRDefault="006A573A" w:rsidP="000E6908">
      <w:pPr>
        <w:ind w:left="-851"/>
        <w:rPr>
          <w:rFonts w:ascii="Aptos" w:hAnsi="Aptos"/>
        </w:rPr>
      </w:pPr>
      <w:r>
        <w:rPr>
          <w:rFonts w:ascii="Aptos" w:hAnsi="Aptos"/>
          <w:noProof/>
          <w:color w:val="0070C0"/>
        </w:rPr>
        <w:drawing>
          <wp:inline distT="0" distB="0" distL="0" distR="0" wp14:anchorId="16B6B0B6" wp14:editId="7376934B">
            <wp:extent cx="8338815" cy="1819784"/>
            <wp:effectExtent l="0" t="0" r="5715" b="9525"/>
            <wp:docPr id="8001024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102494" name="Picture 800102494"/>
                    <pic:cNvPicPr/>
                  </pic:nvPicPr>
                  <pic:blipFill>
                    <a:blip r:embed="rId13">
                      <a:extLst>
                        <a:ext uri="{28A0092B-C50C-407E-A947-70E740481C1C}">
                          <a14:useLocalDpi xmlns:a14="http://schemas.microsoft.com/office/drawing/2010/main" val="0"/>
                        </a:ext>
                      </a:extLst>
                    </a:blip>
                    <a:stretch>
                      <a:fillRect/>
                    </a:stretch>
                  </pic:blipFill>
                  <pic:spPr>
                    <a:xfrm>
                      <a:off x="0" y="0"/>
                      <a:ext cx="8419912" cy="1837482"/>
                    </a:xfrm>
                    <a:prstGeom prst="rect">
                      <a:avLst/>
                    </a:prstGeom>
                  </pic:spPr>
                </pic:pic>
              </a:graphicData>
            </a:graphic>
          </wp:inline>
        </w:drawing>
      </w:r>
      <w:r>
        <w:rPr>
          <w:rFonts w:ascii="Aptos" w:hAnsi="Aptos"/>
          <w:noProof/>
        </w:rPr>
        <w:drawing>
          <wp:inline distT="0" distB="0" distL="0" distR="0" wp14:anchorId="6647D79A" wp14:editId="1EB58DAF">
            <wp:extent cx="8358667" cy="1422183"/>
            <wp:effectExtent l="0" t="0" r="4445" b="6985"/>
            <wp:docPr id="15156130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613042" name="Picture 1515613042"/>
                    <pic:cNvPicPr/>
                  </pic:nvPicPr>
                  <pic:blipFill>
                    <a:blip r:embed="rId14">
                      <a:extLst>
                        <a:ext uri="{28A0092B-C50C-407E-A947-70E740481C1C}">
                          <a14:useLocalDpi xmlns:a14="http://schemas.microsoft.com/office/drawing/2010/main" val="0"/>
                        </a:ext>
                      </a:extLst>
                    </a:blip>
                    <a:stretch>
                      <a:fillRect/>
                    </a:stretch>
                  </pic:blipFill>
                  <pic:spPr>
                    <a:xfrm>
                      <a:off x="0" y="0"/>
                      <a:ext cx="8490829" cy="1444670"/>
                    </a:xfrm>
                    <a:prstGeom prst="rect">
                      <a:avLst/>
                    </a:prstGeom>
                  </pic:spPr>
                </pic:pic>
              </a:graphicData>
            </a:graphic>
          </wp:inline>
        </w:drawing>
      </w:r>
    </w:p>
    <w:p w14:paraId="62108F4A" w14:textId="77777777" w:rsidR="006A573A" w:rsidRDefault="006A573A" w:rsidP="004B151F">
      <w:pPr>
        <w:rPr>
          <w:rFonts w:ascii="Aptos" w:hAnsi="Aptos"/>
          <w:b/>
          <w:bCs/>
        </w:rPr>
      </w:pPr>
    </w:p>
    <w:p w14:paraId="2AEF89EA" w14:textId="0C567464" w:rsidR="004B151F" w:rsidRPr="006A573A" w:rsidRDefault="004B151F" w:rsidP="004B151F">
      <w:pPr>
        <w:rPr>
          <w:rFonts w:ascii="Aptos" w:hAnsi="Aptos"/>
          <w:b/>
          <w:bCs/>
        </w:rPr>
      </w:pPr>
      <w:r w:rsidRPr="006A573A">
        <w:rPr>
          <w:rFonts w:ascii="Aptos" w:hAnsi="Aptos"/>
          <w:b/>
          <w:bCs/>
        </w:rPr>
        <w:lastRenderedPageBreak/>
        <w:t>Figure 2.</w:t>
      </w:r>
      <w:r w:rsidRPr="006A573A">
        <w:rPr>
          <w:rFonts w:ascii="Aptos" w:hAnsi="Aptos"/>
        </w:rPr>
        <w:t xml:space="preserve"> ViPTree analysis:  ViPTree analysis (https://www.genome.jp/viptree/; [2]) is based upon Rohwer and Edwards (2002) Phage Proteomic Tree [3].   The taxons under discussion are indicated with red bars and stars.   Abbreviations: phg = phage; </w:t>
      </w:r>
      <w:r w:rsidR="006A573A">
        <w:rPr>
          <w:rFonts w:ascii="Aptos" w:hAnsi="Aptos"/>
        </w:rPr>
        <w:t>Myco</w:t>
      </w:r>
      <w:r w:rsidRPr="006A573A">
        <w:rPr>
          <w:rFonts w:ascii="Aptos" w:hAnsi="Aptos"/>
        </w:rPr>
        <w:t xml:space="preserve"> = </w:t>
      </w:r>
      <w:r w:rsidR="006A573A">
        <w:rPr>
          <w:rFonts w:ascii="Aptos" w:hAnsi="Aptos"/>
          <w:i/>
          <w:iCs/>
        </w:rPr>
        <w:t>Mycobacterium</w:t>
      </w:r>
      <w:r w:rsidRPr="006A573A">
        <w:rPr>
          <w:rFonts w:ascii="Aptos" w:hAnsi="Aptos"/>
        </w:rPr>
        <w:t>.</w:t>
      </w:r>
      <w:r w:rsidRPr="006A573A">
        <w:rPr>
          <w:rFonts w:ascii="Aptos" w:hAnsi="Aptos"/>
          <w:b/>
          <w:bCs/>
        </w:rPr>
        <w:t xml:space="preserve">  </w:t>
      </w:r>
    </w:p>
    <w:p w14:paraId="5FC1E96A" w14:textId="1E98C1CA" w:rsidR="004B151F" w:rsidRDefault="006A573A" w:rsidP="004B151F">
      <w:pPr>
        <w:rPr>
          <w:rFonts w:ascii="Aptos" w:hAnsi="Aptos"/>
        </w:rPr>
      </w:pPr>
      <w:r>
        <w:rPr>
          <w:rFonts w:ascii="Aptos" w:hAnsi="Aptos"/>
          <w:noProof/>
          <w:color w:val="0070C0"/>
        </w:rPr>
        <w:drawing>
          <wp:inline distT="0" distB="0" distL="0" distR="0" wp14:anchorId="0516E2ED" wp14:editId="23E4BA1F">
            <wp:extent cx="6753225" cy="1771650"/>
            <wp:effectExtent l="0" t="0" r="0" b="0"/>
            <wp:docPr id="5830154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015468" name="Picture 583015468"/>
                    <pic:cNvPicPr/>
                  </pic:nvPicPr>
                  <pic:blipFill>
                    <a:blip r:embed="rId15">
                      <a:extLst>
                        <a:ext uri="{28A0092B-C50C-407E-A947-70E740481C1C}">
                          <a14:useLocalDpi xmlns:a14="http://schemas.microsoft.com/office/drawing/2010/main" val="0"/>
                        </a:ext>
                      </a:extLst>
                    </a:blip>
                    <a:stretch>
                      <a:fillRect/>
                    </a:stretch>
                  </pic:blipFill>
                  <pic:spPr>
                    <a:xfrm>
                      <a:off x="0" y="0"/>
                      <a:ext cx="6753225" cy="1771650"/>
                    </a:xfrm>
                    <a:prstGeom prst="rect">
                      <a:avLst/>
                    </a:prstGeom>
                  </pic:spPr>
                </pic:pic>
              </a:graphicData>
            </a:graphic>
          </wp:inline>
        </w:drawing>
      </w:r>
      <w:r w:rsidR="004B151F">
        <w:rPr>
          <w:rFonts w:ascii="Aptos" w:hAnsi="Aptos"/>
          <w:b/>
          <w:bCs/>
        </w:rPr>
        <w:t xml:space="preserve">Figure 3.  </w:t>
      </w:r>
      <w:r w:rsidR="004B151F">
        <w:rPr>
          <w:rFonts w:ascii="Aptos" w:hAnsi="Aptos"/>
        </w:rPr>
        <w:t xml:space="preserve">Phylogenetic tree constructed with the large subunit terminase proteins from these and related phages using “One Click” Phylogeny.fr [9] at </w:t>
      </w:r>
      <w:hyperlink r:id="rId16" w:history="1">
        <w:r w:rsidR="004B151F">
          <w:rPr>
            <w:rStyle w:val="Hyperlink"/>
            <w:rFonts w:ascii="Aptos" w:eastAsia="Times" w:hAnsi="Aptos"/>
          </w:rPr>
          <w:t>https://www.phylogeny.fr</w:t>
        </w:r>
      </w:hyperlink>
      <w:r w:rsidR="004B151F">
        <w:rPr>
          <w:rFonts w:ascii="Aptos" w:hAnsi="Aptos"/>
        </w:rPr>
        <w:t xml:space="preserve">  using the TerL protein</w:t>
      </w:r>
      <w:r>
        <w:rPr>
          <w:rFonts w:ascii="Aptos" w:hAnsi="Aptos"/>
        </w:rPr>
        <w:t>s</w:t>
      </w:r>
      <w:r w:rsidR="004B151F">
        <w:rPr>
          <w:rFonts w:ascii="Aptos" w:hAnsi="Aptos"/>
        </w:rPr>
        <w:t xml:space="preserve"> from </w:t>
      </w:r>
      <w:r>
        <w:rPr>
          <w:rFonts w:ascii="Aptos" w:hAnsi="Aptos"/>
          <w:i/>
          <w:iCs/>
        </w:rPr>
        <w:t>Gordonia</w:t>
      </w:r>
      <w:r w:rsidR="004B151F">
        <w:rPr>
          <w:rFonts w:ascii="Aptos" w:hAnsi="Aptos"/>
        </w:rPr>
        <w:t xml:space="preserve"> phage</w:t>
      </w:r>
      <w:r>
        <w:rPr>
          <w:rFonts w:ascii="Aptos" w:hAnsi="Aptos"/>
        </w:rPr>
        <w:t>s</w:t>
      </w:r>
      <w:r w:rsidR="004B151F">
        <w:rPr>
          <w:rFonts w:ascii="Aptos" w:hAnsi="Aptos"/>
        </w:rPr>
        <w:t xml:space="preserve"> </w:t>
      </w:r>
      <w:r>
        <w:rPr>
          <w:rFonts w:ascii="Aptos" w:hAnsi="Aptos"/>
        </w:rPr>
        <w:t>Gobes and Frizzle</w:t>
      </w:r>
      <w:r w:rsidR="004B151F">
        <w:rPr>
          <w:rFonts w:ascii="Aptos" w:hAnsi="Aptos"/>
        </w:rPr>
        <w:t xml:space="preserve"> as outlier</w:t>
      </w:r>
      <w:r>
        <w:rPr>
          <w:rFonts w:ascii="Aptos" w:hAnsi="Aptos"/>
        </w:rPr>
        <w:t>s</w:t>
      </w:r>
      <w:r w:rsidR="004B151F">
        <w:rPr>
          <w:rFonts w:ascii="Aptos" w:hAnsi="Aptos"/>
        </w:rPr>
        <w:t>.</w:t>
      </w:r>
    </w:p>
    <w:p w14:paraId="612C076C" w14:textId="77777777" w:rsidR="003D6858" w:rsidRDefault="003D6858" w:rsidP="004B151F">
      <w:pPr>
        <w:rPr>
          <w:rFonts w:ascii="Aptos" w:hAnsi="Aptos"/>
        </w:rPr>
      </w:pPr>
    </w:p>
    <w:p w14:paraId="6FB6E70D" w14:textId="50849CAA" w:rsidR="00673922" w:rsidRPr="00AC7274" w:rsidRDefault="00673922" w:rsidP="00673922">
      <w:pPr>
        <w:rPr>
          <w:rFonts w:ascii="Aptos" w:hAnsi="Aptos"/>
          <w:i/>
          <w:iCs/>
        </w:rPr>
      </w:pPr>
      <w:r w:rsidRPr="00AC7274">
        <w:rPr>
          <w:rFonts w:ascii="Aptos" w:hAnsi="Aptos"/>
          <w:b/>
          <w:bCs/>
        </w:rPr>
        <w:t xml:space="preserve">Table </w:t>
      </w:r>
      <w:r>
        <w:rPr>
          <w:rFonts w:ascii="Aptos" w:hAnsi="Aptos"/>
          <w:b/>
          <w:bCs/>
        </w:rPr>
        <w:t>1</w:t>
      </w:r>
      <w:r w:rsidRPr="00AC7274">
        <w:rPr>
          <w:rFonts w:ascii="Aptos" w:hAnsi="Aptos"/>
          <w:b/>
          <w:bCs/>
        </w:rPr>
        <w:t>.</w:t>
      </w:r>
      <w:r w:rsidRPr="00AC7274">
        <w:rPr>
          <w:rFonts w:ascii="Aptos" w:hAnsi="Aptos"/>
        </w:rPr>
        <w:t xml:space="preserve">  Characteristics of </w:t>
      </w:r>
      <w:r w:rsidR="00333A2A">
        <w:rPr>
          <w:rFonts w:ascii="Aptos" w:hAnsi="Aptos"/>
        </w:rPr>
        <w:t>a new</w:t>
      </w:r>
      <w:r w:rsidRPr="00AC7274">
        <w:rPr>
          <w:rFonts w:ascii="Aptos" w:hAnsi="Aptos"/>
        </w:rPr>
        <w:t xml:space="preserve"> </w:t>
      </w:r>
      <w:r w:rsidR="00333A2A">
        <w:rPr>
          <w:rFonts w:ascii="Aptos" w:hAnsi="Aptos"/>
        </w:rPr>
        <w:t xml:space="preserve">phage which belongs to the genus </w:t>
      </w:r>
      <w:r w:rsidR="004F441D" w:rsidRPr="004F441D">
        <w:rPr>
          <w:rFonts w:ascii="Aptos" w:hAnsi="Aptos"/>
          <w:i/>
          <w:iCs/>
        </w:rPr>
        <w:t>Typhavirus</w:t>
      </w:r>
      <w:r w:rsidR="004F441D">
        <w:rPr>
          <w:rFonts w:ascii="Aptos" w:hAnsi="Aptos"/>
        </w:rPr>
        <w:t>.</w:t>
      </w:r>
    </w:p>
    <w:p w14:paraId="56CAC785" w14:textId="77777777" w:rsidR="00673922" w:rsidRPr="00AC7274" w:rsidRDefault="00673922" w:rsidP="00673922">
      <w:pPr>
        <w:rPr>
          <w:rFonts w:ascii="Aptos" w:hAnsi="Aptos"/>
        </w:rPr>
      </w:pPr>
    </w:p>
    <w:tbl>
      <w:tblPr>
        <w:tblStyle w:val="TableGrid"/>
        <w:tblW w:w="0" w:type="auto"/>
        <w:tblInd w:w="-572" w:type="dxa"/>
        <w:tblLook w:val="04A0" w:firstRow="1" w:lastRow="0" w:firstColumn="1" w:lastColumn="0" w:noHBand="0" w:noVBand="1"/>
      </w:tblPr>
      <w:tblGrid>
        <w:gridCol w:w="1369"/>
        <w:gridCol w:w="1368"/>
        <w:gridCol w:w="1152"/>
        <w:gridCol w:w="1011"/>
        <w:gridCol w:w="1022"/>
        <w:gridCol w:w="876"/>
        <w:gridCol w:w="693"/>
        <w:gridCol w:w="926"/>
        <w:gridCol w:w="864"/>
        <w:gridCol w:w="614"/>
      </w:tblGrid>
      <w:tr w:rsidR="00673922" w:rsidRPr="00AC7274" w14:paraId="3167F3BE" w14:textId="77777777" w:rsidTr="00A558C2">
        <w:tc>
          <w:tcPr>
            <w:tcW w:w="1327" w:type="dxa"/>
            <w:tcBorders>
              <w:top w:val="single" w:sz="4" w:space="0" w:color="auto"/>
              <w:left w:val="single" w:sz="4" w:space="0" w:color="auto"/>
              <w:bottom w:val="single" w:sz="4" w:space="0" w:color="auto"/>
              <w:right w:val="single" w:sz="4" w:space="0" w:color="auto"/>
            </w:tcBorders>
            <w:hideMark/>
          </w:tcPr>
          <w:p w14:paraId="3C552570" w14:textId="77777777" w:rsidR="00673922" w:rsidRPr="00A558C2" w:rsidRDefault="00673922" w:rsidP="004558DB">
            <w:pPr>
              <w:rPr>
                <w:rFonts w:ascii="Aptos" w:hAnsi="Aptos"/>
                <w:b/>
                <w:bCs/>
                <w:sz w:val="20"/>
                <w:szCs w:val="20"/>
              </w:rPr>
            </w:pPr>
            <w:r w:rsidRPr="00A558C2">
              <w:rPr>
                <w:rFonts w:ascii="Aptos" w:hAnsi="Aptos"/>
                <w:b/>
                <w:bCs/>
                <w:sz w:val="20"/>
                <w:szCs w:val="20"/>
              </w:rPr>
              <w:t>Phage name</w:t>
            </w:r>
          </w:p>
        </w:tc>
        <w:tc>
          <w:tcPr>
            <w:tcW w:w="1326" w:type="dxa"/>
            <w:tcBorders>
              <w:top w:val="single" w:sz="4" w:space="0" w:color="auto"/>
              <w:left w:val="single" w:sz="4" w:space="0" w:color="auto"/>
              <w:bottom w:val="single" w:sz="4" w:space="0" w:color="auto"/>
              <w:right w:val="single" w:sz="4" w:space="0" w:color="auto"/>
            </w:tcBorders>
            <w:hideMark/>
          </w:tcPr>
          <w:p w14:paraId="298A17A6" w14:textId="77777777" w:rsidR="00673922" w:rsidRPr="00A558C2" w:rsidRDefault="00673922" w:rsidP="004558DB">
            <w:pPr>
              <w:rPr>
                <w:rFonts w:ascii="Aptos" w:hAnsi="Aptos"/>
                <w:b/>
                <w:bCs/>
                <w:sz w:val="20"/>
                <w:szCs w:val="20"/>
              </w:rPr>
            </w:pPr>
            <w:r w:rsidRPr="00A558C2">
              <w:rPr>
                <w:rFonts w:ascii="Aptos" w:hAnsi="Aptos"/>
                <w:b/>
                <w:bCs/>
                <w:sz w:val="20"/>
                <w:szCs w:val="20"/>
              </w:rPr>
              <w:t>Host</w:t>
            </w:r>
          </w:p>
        </w:tc>
        <w:tc>
          <w:tcPr>
            <w:tcW w:w="1118" w:type="dxa"/>
            <w:tcBorders>
              <w:top w:val="single" w:sz="4" w:space="0" w:color="auto"/>
              <w:left w:val="single" w:sz="4" w:space="0" w:color="auto"/>
              <w:bottom w:val="single" w:sz="4" w:space="0" w:color="auto"/>
              <w:right w:val="single" w:sz="4" w:space="0" w:color="auto"/>
            </w:tcBorders>
            <w:hideMark/>
          </w:tcPr>
          <w:p w14:paraId="31BA0C9A" w14:textId="77777777" w:rsidR="00673922" w:rsidRPr="00A558C2" w:rsidRDefault="00673922" w:rsidP="004558DB">
            <w:pPr>
              <w:rPr>
                <w:rFonts w:ascii="Aptos" w:hAnsi="Aptos"/>
                <w:b/>
                <w:bCs/>
                <w:sz w:val="20"/>
                <w:szCs w:val="20"/>
              </w:rPr>
            </w:pPr>
            <w:r w:rsidRPr="00A558C2">
              <w:rPr>
                <w:rFonts w:ascii="Aptos" w:hAnsi="Aptos"/>
                <w:b/>
                <w:bCs/>
                <w:sz w:val="20"/>
                <w:szCs w:val="20"/>
              </w:rPr>
              <w:t>Morphotype</w:t>
            </w:r>
          </w:p>
        </w:tc>
        <w:tc>
          <w:tcPr>
            <w:tcW w:w="981" w:type="dxa"/>
            <w:tcBorders>
              <w:top w:val="single" w:sz="4" w:space="0" w:color="auto"/>
              <w:left w:val="single" w:sz="4" w:space="0" w:color="auto"/>
              <w:bottom w:val="single" w:sz="4" w:space="0" w:color="auto"/>
              <w:right w:val="single" w:sz="4" w:space="0" w:color="auto"/>
            </w:tcBorders>
            <w:hideMark/>
          </w:tcPr>
          <w:p w14:paraId="49824CDB" w14:textId="77777777" w:rsidR="00673922" w:rsidRPr="00A558C2" w:rsidRDefault="00673922" w:rsidP="004558DB">
            <w:pPr>
              <w:rPr>
                <w:rFonts w:ascii="Aptos" w:hAnsi="Aptos"/>
                <w:b/>
                <w:bCs/>
                <w:sz w:val="20"/>
                <w:szCs w:val="20"/>
              </w:rPr>
            </w:pPr>
            <w:r w:rsidRPr="00A558C2">
              <w:rPr>
                <w:rFonts w:ascii="Aptos" w:hAnsi="Aptos"/>
                <w:b/>
                <w:bCs/>
                <w:sz w:val="20"/>
                <w:szCs w:val="20"/>
              </w:rPr>
              <w:t>Lifestyle</w:t>
            </w:r>
          </w:p>
        </w:tc>
        <w:tc>
          <w:tcPr>
            <w:tcW w:w="992" w:type="dxa"/>
            <w:tcBorders>
              <w:top w:val="single" w:sz="4" w:space="0" w:color="auto"/>
              <w:left w:val="single" w:sz="4" w:space="0" w:color="auto"/>
              <w:bottom w:val="single" w:sz="4" w:space="0" w:color="auto"/>
              <w:right w:val="single" w:sz="4" w:space="0" w:color="auto"/>
            </w:tcBorders>
            <w:hideMark/>
          </w:tcPr>
          <w:p w14:paraId="26CB5064" w14:textId="77777777" w:rsidR="00673922" w:rsidRPr="00A558C2" w:rsidRDefault="00673922" w:rsidP="004558DB">
            <w:pPr>
              <w:rPr>
                <w:rFonts w:ascii="Aptos" w:hAnsi="Aptos"/>
                <w:b/>
                <w:bCs/>
                <w:sz w:val="20"/>
                <w:szCs w:val="20"/>
              </w:rPr>
            </w:pPr>
            <w:r w:rsidRPr="00A558C2">
              <w:rPr>
                <w:rFonts w:ascii="Aptos" w:hAnsi="Aptos"/>
                <w:b/>
                <w:bCs/>
                <w:sz w:val="20"/>
                <w:szCs w:val="20"/>
              </w:rPr>
              <w:t>Accession No.</w:t>
            </w:r>
          </w:p>
        </w:tc>
        <w:tc>
          <w:tcPr>
            <w:tcW w:w="852" w:type="dxa"/>
            <w:tcBorders>
              <w:top w:val="single" w:sz="4" w:space="0" w:color="auto"/>
              <w:left w:val="single" w:sz="4" w:space="0" w:color="auto"/>
              <w:bottom w:val="single" w:sz="4" w:space="0" w:color="auto"/>
              <w:right w:val="single" w:sz="4" w:space="0" w:color="auto"/>
            </w:tcBorders>
            <w:hideMark/>
          </w:tcPr>
          <w:p w14:paraId="60D7D635" w14:textId="77777777" w:rsidR="00673922" w:rsidRPr="00A558C2" w:rsidRDefault="00673922" w:rsidP="004558DB">
            <w:pPr>
              <w:rPr>
                <w:rFonts w:ascii="Aptos" w:hAnsi="Aptos"/>
                <w:b/>
                <w:bCs/>
                <w:sz w:val="20"/>
                <w:szCs w:val="20"/>
              </w:rPr>
            </w:pPr>
            <w:r w:rsidRPr="00A558C2">
              <w:rPr>
                <w:rFonts w:ascii="Aptos" w:hAnsi="Aptos"/>
                <w:b/>
                <w:bCs/>
                <w:sz w:val="20"/>
                <w:szCs w:val="20"/>
              </w:rPr>
              <w:t>Genome size</w:t>
            </w:r>
          </w:p>
        </w:tc>
        <w:tc>
          <w:tcPr>
            <w:tcW w:w="676" w:type="dxa"/>
            <w:tcBorders>
              <w:top w:val="single" w:sz="4" w:space="0" w:color="auto"/>
              <w:left w:val="single" w:sz="4" w:space="0" w:color="auto"/>
              <w:bottom w:val="single" w:sz="4" w:space="0" w:color="auto"/>
              <w:right w:val="single" w:sz="4" w:space="0" w:color="auto"/>
            </w:tcBorders>
            <w:hideMark/>
          </w:tcPr>
          <w:p w14:paraId="53418CD7" w14:textId="77777777" w:rsidR="00673922" w:rsidRPr="00A558C2" w:rsidRDefault="00673922" w:rsidP="004558DB">
            <w:pPr>
              <w:rPr>
                <w:rFonts w:ascii="Aptos" w:hAnsi="Aptos"/>
                <w:b/>
                <w:bCs/>
                <w:sz w:val="20"/>
                <w:szCs w:val="20"/>
              </w:rPr>
            </w:pPr>
            <w:r w:rsidRPr="00A558C2">
              <w:rPr>
                <w:rFonts w:ascii="Aptos" w:hAnsi="Aptos"/>
                <w:b/>
                <w:bCs/>
                <w:sz w:val="20"/>
                <w:szCs w:val="20"/>
              </w:rPr>
              <w:t>%G+C</w:t>
            </w:r>
          </w:p>
        </w:tc>
        <w:tc>
          <w:tcPr>
            <w:tcW w:w="900" w:type="dxa"/>
            <w:tcBorders>
              <w:top w:val="single" w:sz="4" w:space="0" w:color="auto"/>
              <w:left w:val="single" w:sz="4" w:space="0" w:color="auto"/>
              <w:bottom w:val="single" w:sz="4" w:space="0" w:color="auto"/>
              <w:right w:val="single" w:sz="4" w:space="0" w:color="auto"/>
            </w:tcBorders>
            <w:hideMark/>
          </w:tcPr>
          <w:p w14:paraId="14C4E8ED" w14:textId="77777777" w:rsidR="00673922" w:rsidRPr="00A558C2" w:rsidRDefault="00673922" w:rsidP="004558DB">
            <w:pPr>
              <w:rPr>
                <w:rFonts w:ascii="Aptos" w:hAnsi="Aptos"/>
                <w:b/>
                <w:bCs/>
                <w:sz w:val="20"/>
                <w:szCs w:val="20"/>
              </w:rPr>
            </w:pPr>
            <w:r w:rsidRPr="00A558C2">
              <w:rPr>
                <w:rFonts w:ascii="Aptos" w:hAnsi="Aptos"/>
                <w:b/>
                <w:bCs/>
                <w:sz w:val="20"/>
                <w:szCs w:val="20"/>
              </w:rPr>
              <w:t>Genome Termini</w:t>
            </w:r>
          </w:p>
        </w:tc>
        <w:tc>
          <w:tcPr>
            <w:tcW w:w="841" w:type="dxa"/>
            <w:tcBorders>
              <w:top w:val="single" w:sz="4" w:space="0" w:color="auto"/>
              <w:left w:val="single" w:sz="4" w:space="0" w:color="auto"/>
              <w:bottom w:val="single" w:sz="4" w:space="0" w:color="auto"/>
              <w:right w:val="single" w:sz="4" w:space="0" w:color="auto"/>
            </w:tcBorders>
            <w:hideMark/>
          </w:tcPr>
          <w:p w14:paraId="61289740" w14:textId="77777777" w:rsidR="00673922" w:rsidRPr="00A558C2" w:rsidRDefault="00673922" w:rsidP="004558DB">
            <w:pPr>
              <w:rPr>
                <w:rFonts w:ascii="Aptos" w:hAnsi="Aptos"/>
                <w:b/>
                <w:bCs/>
                <w:sz w:val="20"/>
                <w:szCs w:val="20"/>
              </w:rPr>
            </w:pPr>
            <w:r w:rsidRPr="00A558C2">
              <w:rPr>
                <w:rFonts w:ascii="Aptos" w:hAnsi="Aptos"/>
                <w:b/>
                <w:bCs/>
                <w:sz w:val="20"/>
                <w:szCs w:val="20"/>
              </w:rPr>
              <w:t>No. proteins</w:t>
            </w:r>
          </w:p>
        </w:tc>
        <w:tc>
          <w:tcPr>
            <w:tcW w:w="599" w:type="dxa"/>
            <w:tcBorders>
              <w:top w:val="single" w:sz="4" w:space="0" w:color="auto"/>
              <w:left w:val="single" w:sz="4" w:space="0" w:color="auto"/>
              <w:bottom w:val="single" w:sz="4" w:space="0" w:color="auto"/>
              <w:right w:val="single" w:sz="4" w:space="0" w:color="auto"/>
            </w:tcBorders>
            <w:hideMark/>
          </w:tcPr>
          <w:p w14:paraId="6D3F5334" w14:textId="6D8E60DC" w:rsidR="00673922" w:rsidRPr="00A558C2" w:rsidRDefault="00673922" w:rsidP="004558DB">
            <w:pPr>
              <w:rPr>
                <w:rFonts w:ascii="Aptos" w:hAnsi="Aptos"/>
                <w:b/>
                <w:bCs/>
                <w:sz w:val="20"/>
                <w:szCs w:val="20"/>
              </w:rPr>
            </w:pPr>
            <w:r w:rsidRPr="00A558C2">
              <w:rPr>
                <w:rFonts w:ascii="Aptos" w:hAnsi="Aptos"/>
                <w:b/>
                <w:bCs/>
                <w:sz w:val="20"/>
                <w:szCs w:val="20"/>
              </w:rPr>
              <w:t>No. tRNA</w:t>
            </w:r>
            <w:r w:rsidR="00333A2A" w:rsidRPr="00A558C2">
              <w:rPr>
                <w:rFonts w:ascii="Aptos" w:hAnsi="Aptos"/>
                <w:b/>
                <w:bCs/>
                <w:sz w:val="20"/>
                <w:szCs w:val="20"/>
              </w:rPr>
              <w:t xml:space="preserve"> (***)</w:t>
            </w:r>
          </w:p>
        </w:tc>
      </w:tr>
      <w:tr w:rsidR="00673922" w:rsidRPr="00AC7274" w14:paraId="3E21218B" w14:textId="77777777" w:rsidTr="00A558C2">
        <w:tc>
          <w:tcPr>
            <w:tcW w:w="1327" w:type="dxa"/>
            <w:tcBorders>
              <w:top w:val="single" w:sz="4" w:space="0" w:color="auto"/>
              <w:left w:val="single" w:sz="4" w:space="0" w:color="auto"/>
              <w:bottom w:val="single" w:sz="4" w:space="0" w:color="auto"/>
              <w:right w:val="single" w:sz="4" w:space="0" w:color="auto"/>
            </w:tcBorders>
          </w:tcPr>
          <w:p w14:paraId="7BFE919E" w14:textId="25138764" w:rsidR="00673922" w:rsidRPr="00A558C2" w:rsidRDefault="00673922" w:rsidP="004558DB">
            <w:pPr>
              <w:rPr>
                <w:rFonts w:ascii="Aptos" w:hAnsi="Aptos"/>
                <w:sz w:val="20"/>
                <w:szCs w:val="20"/>
              </w:rPr>
            </w:pPr>
            <w:r w:rsidRPr="00A558C2">
              <w:rPr>
                <w:rFonts w:ascii="Aptos" w:hAnsi="Aptos"/>
                <w:i/>
                <w:iCs/>
                <w:sz w:val="20"/>
                <w:szCs w:val="20"/>
              </w:rPr>
              <w:t xml:space="preserve">Mycobacterium </w:t>
            </w:r>
            <w:r w:rsidRPr="00A558C2">
              <w:rPr>
                <w:rFonts w:ascii="Aptos" w:hAnsi="Aptos"/>
                <w:sz w:val="20"/>
                <w:szCs w:val="20"/>
              </w:rPr>
              <w:t>phage Nadezda (*)</w:t>
            </w:r>
          </w:p>
        </w:tc>
        <w:tc>
          <w:tcPr>
            <w:tcW w:w="1326" w:type="dxa"/>
            <w:tcBorders>
              <w:top w:val="single" w:sz="4" w:space="0" w:color="auto"/>
              <w:left w:val="single" w:sz="4" w:space="0" w:color="auto"/>
              <w:bottom w:val="single" w:sz="4" w:space="0" w:color="auto"/>
              <w:right w:val="single" w:sz="4" w:space="0" w:color="auto"/>
            </w:tcBorders>
          </w:tcPr>
          <w:p w14:paraId="7025532E" w14:textId="37AD78C9" w:rsidR="00673922" w:rsidRPr="00A558C2" w:rsidRDefault="00673922" w:rsidP="004558DB">
            <w:pPr>
              <w:rPr>
                <w:rFonts w:ascii="Aptos" w:hAnsi="Aptos"/>
                <w:sz w:val="20"/>
                <w:szCs w:val="20"/>
              </w:rPr>
            </w:pPr>
            <w:r w:rsidRPr="00A558C2">
              <w:rPr>
                <w:rFonts w:ascii="Aptos" w:hAnsi="Aptos"/>
                <w:i/>
                <w:iCs/>
                <w:sz w:val="20"/>
                <w:szCs w:val="20"/>
              </w:rPr>
              <w:t xml:space="preserve">Mycobacterium smegmatis </w:t>
            </w:r>
            <w:r w:rsidRPr="00A558C2">
              <w:rPr>
                <w:rFonts w:ascii="Aptos" w:hAnsi="Aptos"/>
                <w:sz w:val="20"/>
                <w:szCs w:val="20"/>
              </w:rPr>
              <w:t>mc(2)155</w:t>
            </w:r>
          </w:p>
        </w:tc>
        <w:tc>
          <w:tcPr>
            <w:tcW w:w="1118" w:type="dxa"/>
            <w:tcBorders>
              <w:top w:val="single" w:sz="4" w:space="0" w:color="auto"/>
              <w:left w:val="single" w:sz="4" w:space="0" w:color="auto"/>
              <w:bottom w:val="single" w:sz="4" w:space="0" w:color="auto"/>
              <w:right w:val="single" w:sz="4" w:space="0" w:color="auto"/>
            </w:tcBorders>
          </w:tcPr>
          <w:p w14:paraId="62F5046B" w14:textId="0C933FC4" w:rsidR="00673922" w:rsidRPr="00A558C2" w:rsidRDefault="00673922" w:rsidP="004558DB">
            <w:pPr>
              <w:rPr>
                <w:rFonts w:ascii="Aptos" w:hAnsi="Aptos"/>
                <w:sz w:val="20"/>
                <w:szCs w:val="20"/>
              </w:rPr>
            </w:pPr>
            <w:r w:rsidRPr="00A558C2">
              <w:rPr>
                <w:rFonts w:ascii="Aptos" w:hAnsi="Aptos"/>
                <w:sz w:val="20"/>
                <w:szCs w:val="20"/>
              </w:rPr>
              <w:t>Siphovirus</w:t>
            </w:r>
          </w:p>
        </w:tc>
        <w:tc>
          <w:tcPr>
            <w:tcW w:w="981" w:type="dxa"/>
            <w:tcBorders>
              <w:top w:val="single" w:sz="4" w:space="0" w:color="auto"/>
              <w:left w:val="single" w:sz="4" w:space="0" w:color="auto"/>
              <w:bottom w:val="single" w:sz="4" w:space="0" w:color="auto"/>
              <w:right w:val="single" w:sz="4" w:space="0" w:color="auto"/>
            </w:tcBorders>
            <w:hideMark/>
          </w:tcPr>
          <w:p w14:paraId="6CB76EAF" w14:textId="3AEEB76D" w:rsidR="00673922" w:rsidRPr="00A558C2" w:rsidRDefault="00673922" w:rsidP="004558DB">
            <w:pPr>
              <w:rPr>
                <w:rFonts w:ascii="Aptos" w:hAnsi="Aptos"/>
                <w:sz w:val="20"/>
                <w:szCs w:val="20"/>
              </w:rPr>
            </w:pPr>
            <w:r w:rsidRPr="00A558C2">
              <w:rPr>
                <w:rFonts w:ascii="Aptos" w:hAnsi="Aptos"/>
                <w:sz w:val="20"/>
                <w:szCs w:val="20"/>
              </w:rPr>
              <w:t>Temperate</w:t>
            </w:r>
          </w:p>
        </w:tc>
        <w:tc>
          <w:tcPr>
            <w:tcW w:w="992" w:type="dxa"/>
            <w:tcBorders>
              <w:top w:val="single" w:sz="4" w:space="0" w:color="auto"/>
              <w:left w:val="single" w:sz="4" w:space="0" w:color="auto"/>
              <w:bottom w:val="single" w:sz="4" w:space="0" w:color="auto"/>
              <w:right w:val="single" w:sz="4" w:space="0" w:color="auto"/>
            </w:tcBorders>
          </w:tcPr>
          <w:p w14:paraId="541E2C67" w14:textId="3F4BF933" w:rsidR="00673922" w:rsidRPr="00A558C2" w:rsidRDefault="00673922" w:rsidP="004558DB">
            <w:pPr>
              <w:rPr>
                <w:rFonts w:ascii="Aptos" w:hAnsi="Aptos"/>
                <w:sz w:val="20"/>
                <w:szCs w:val="20"/>
              </w:rPr>
            </w:pPr>
            <w:r w:rsidRPr="00A558C2">
              <w:rPr>
                <w:rFonts w:ascii="Aptos" w:hAnsi="Aptos"/>
                <w:sz w:val="20"/>
                <w:szCs w:val="20"/>
              </w:rPr>
              <w:t>PQ495709</w:t>
            </w:r>
          </w:p>
        </w:tc>
        <w:tc>
          <w:tcPr>
            <w:tcW w:w="852" w:type="dxa"/>
            <w:tcBorders>
              <w:top w:val="single" w:sz="4" w:space="0" w:color="auto"/>
              <w:left w:val="single" w:sz="4" w:space="0" w:color="auto"/>
              <w:bottom w:val="single" w:sz="4" w:space="0" w:color="auto"/>
              <w:right w:val="single" w:sz="4" w:space="0" w:color="auto"/>
            </w:tcBorders>
          </w:tcPr>
          <w:p w14:paraId="249A5CF0" w14:textId="19CD1345" w:rsidR="00673922" w:rsidRPr="00A558C2" w:rsidRDefault="00673922" w:rsidP="004558DB">
            <w:pPr>
              <w:rPr>
                <w:rFonts w:ascii="Aptos" w:hAnsi="Aptos"/>
                <w:sz w:val="20"/>
                <w:szCs w:val="20"/>
              </w:rPr>
            </w:pPr>
            <w:r w:rsidRPr="00A558C2">
              <w:rPr>
                <w:rFonts w:ascii="Aptos" w:hAnsi="Aptos"/>
                <w:sz w:val="20"/>
                <w:szCs w:val="20"/>
              </w:rPr>
              <w:t>75356 bp</w:t>
            </w:r>
          </w:p>
        </w:tc>
        <w:tc>
          <w:tcPr>
            <w:tcW w:w="676" w:type="dxa"/>
            <w:tcBorders>
              <w:top w:val="single" w:sz="4" w:space="0" w:color="auto"/>
              <w:left w:val="single" w:sz="4" w:space="0" w:color="auto"/>
              <w:bottom w:val="single" w:sz="4" w:space="0" w:color="auto"/>
              <w:right w:val="single" w:sz="4" w:space="0" w:color="auto"/>
            </w:tcBorders>
          </w:tcPr>
          <w:p w14:paraId="50EC1DC8" w14:textId="1A263B84" w:rsidR="00673922" w:rsidRPr="00A558C2" w:rsidRDefault="00333A2A" w:rsidP="004558DB">
            <w:pPr>
              <w:rPr>
                <w:rFonts w:ascii="Aptos" w:hAnsi="Aptos"/>
                <w:sz w:val="20"/>
                <w:szCs w:val="20"/>
              </w:rPr>
            </w:pPr>
            <w:r w:rsidRPr="00A558C2">
              <w:rPr>
                <w:rFonts w:ascii="Aptos" w:hAnsi="Aptos"/>
                <w:sz w:val="20"/>
                <w:szCs w:val="20"/>
              </w:rPr>
              <w:t>66.0</w:t>
            </w:r>
          </w:p>
        </w:tc>
        <w:tc>
          <w:tcPr>
            <w:tcW w:w="900" w:type="dxa"/>
            <w:tcBorders>
              <w:top w:val="single" w:sz="4" w:space="0" w:color="auto"/>
              <w:left w:val="single" w:sz="4" w:space="0" w:color="auto"/>
              <w:bottom w:val="single" w:sz="4" w:space="0" w:color="auto"/>
              <w:right w:val="single" w:sz="4" w:space="0" w:color="auto"/>
            </w:tcBorders>
          </w:tcPr>
          <w:p w14:paraId="0D3F5D26" w14:textId="687D99CD" w:rsidR="00673922" w:rsidRPr="00A558C2" w:rsidRDefault="00333A2A" w:rsidP="004558DB">
            <w:pPr>
              <w:rPr>
                <w:rFonts w:ascii="Aptos" w:hAnsi="Aptos"/>
                <w:sz w:val="20"/>
                <w:szCs w:val="20"/>
              </w:rPr>
            </w:pPr>
            <w:r w:rsidRPr="00A558C2">
              <w:rPr>
                <w:rFonts w:ascii="Aptos" w:hAnsi="Aptos"/>
                <w:sz w:val="20"/>
                <w:szCs w:val="20"/>
              </w:rPr>
              <w:t xml:space="preserve">12 nt 3' Sticky Overhang </w:t>
            </w:r>
            <w:r w:rsidR="00673922" w:rsidRPr="00A558C2">
              <w:rPr>
                <w:rFonts w:ascii="Aptos" w:hAnsi="Aptos"/>
                <w:sz w:val="20"/>
                <w:szCs w:val="20"/>
              </w:rPr>
              <w:t>(**)</w:t>
            </w:r>
          </w:p>
        </w:tc>
        <w:tc>
          <w:tcPr>
            <w:tcW w:w="841" w:type="dxa"/>
            <w:tcBorders>
              <w:top w:val="single" w:sz="4" w:space="0" w:color="auto"/>
              <w:left w:val="single" w:sz="4" w:space="0" w:color="auto"/>
              <w:bottom w:val="single" w:sz="4" w:space="0" w:color="auto"/>
              <w:right w:val="single" w:sz="4" w:space="0" w:color="auto"/>
            </w:tcBorders>
          </w:tcPr>
          <w:p w14:paraId="52E525F6" w14:textId="17A75C01" w:rsidR="00673922" w:rsidRPr="00A558C2" w:rsidRDefault="00673922" w:rsidP="004558DB">
            <w:pPr>
              <w:rPr>
                <w:rFonts w:ascii="Aptos" w:hAnsi="Aptos"/>
                <w:sz w:val="20"/>
                <w:szCs w:val="20"/>
              </w:rPr>
            </w:pPr>
            <w:r w:rsidRPr="00A558C2">
              <w:rPr>
                <w:rFonts w:ascii="Aptos" w:hAnsi="Aptos"/>
                <w:sz w:val="20"/>
                <w:szCs w:val="20"/>
              </w:rPr>
              <w:t>125</w:t>
            </w:r>
          </w:p>
        </w:tc>
        <w:tc>
          <w:tcPr>
            <w:tcW w:w="599" w:type="dxa"/>
            <w:tcBorders>
              <w:top w:val="single" w:sz="4" w:space="0" w:color="auto"/>
              <w:left w:val="single" w:sz="4" w:space="0" w:color="auto"/>
              <w:bottom w:val="single" w:sz="4" w:space="0" w:color="auto"/>
              <w:right w:val="single" w:sz="4" w:space="0" w:color="auto"/>
            </w:tcBorders>
            <w:hideMark/>
          </w:tcPr>
          <w:p w14:paraId="3BEE402F" w14:textId="27D891CF" w:rsidR="00673922" w:rsidRPr="00A558C2" w:rsidRDefault="00333A2A" w:rsidP="004558DB">
            <w:pPr>
              <w:rPr>
                <w:rFonts w:ascii="Aptos" w:hAnsi="Aptos"/>
                <w:sz w:val="20"/>
                <w:szCs w:val="20"/>
              </w:rPr>
            </w:pPr>
            <w:r w:rsidRPr="00A558C2">
              <w:rPr>
                <w:rFonts w:ascii="Aptos" w:hAnsi="Aptos"/>
                <w:sz w:val="20"/>
                <w:szCs w:val="20"/>
              </w:rPr>
              <w:t>2</w:t>
            </w:r>
          </w:p>
        </w:tc>
      </w:tr>
    </w:tbl>
    <w:p w14:paraId="18109C81" w14:textId="44589972" w:rsidR="00673922" w:rsidRDefault="00673922" w:rsidP="00673922">
      <w:pPr>
        <w:rPr>
          <w:rFonts w:ascii="Aptos" w:hAnsi="Aptos"/>
        </w:rPr>
      </w:pPr>
      <w:r>
        <w:rPr>
          <w:rFonts w:ascii="Aptos" w:hAnsi="Aptos"/>
        </w:rPr>
        <w:t>(*) Unclassified in the Actinobacteriophage Database, isolated in Russia</w:t>
      </w:r>
      <w:r w:rsidR="00333A2A">
        <w:rPr>
          <w:rFonts w:ascii="Aptos" w:hAnsi="Aptos"/>
        </w:rPr>
        <w:t>;</w:t>
      </w:r>
      <w:r>
        <w:rPr>
          <w:rFonts w:ascii="Aptos" w:hAnsi="Aptos"/>
        </w:rPr>
        <w:t xml:space="preserve">  </w:t>
      </w:r>
      <w:r w:rsidR="00333A2A">
        <w:rPr>
          <w:rFonts w:ascii="Aptos" w:hAnsi="Aptos"/>
        </w:rPr>
        <w:t xml:space="preserve">(**) probable based upon sequence of phage Bipper; </w:t>
      </w:r>
      <w:r>
        <w:rPr>
          <w:rFonts w:ascii="Aptos" w:hAnsi="Aptos"/>
        </w:rPr>
        <w:t>(**</w:t>
      </w:r>
      <w:r w:rsidR="00333A2A">
        <w:rPr>
          <w:rFonts w:ascii="Aptos" w:hAnsi="Aptos"/>
        </w:rPr>
        <w:t>*</w:t>
      </w:r>
      <w:r>
        <w:rPr>
          <w:rFonts w:ascii="Aptos" w:hAnsi="Aptos"/>
        </w:rPr>
        <w:t>) Not given in GenBank</w:t>
      </w:r>
      <w:r w:rsidR="00333A2A">
        <w:rPr>
          <w:rFonts w:ascii="Aptos" w:hAnsi="Aptos"/>
        </w:rPr>
        <w:t xml:space="preserve">, determined using </w:t>
      </w:r>
      <w:hyperlink r:id="rId17" w:history="1">
        <w:r w:rsidR="00333A2A" w:rsidRPr="00D64F7D">
          <w:rPr>
            <w:rStyle w:val="Hyperlink"/>
            <w:rFonts w:ascii="Aptos" w:hAnsi="Aptos"/>
          </w:rPr>
          <w:t>https://rna.usegalaxy.eu/</w:t>
        </w:r>
      </w:hyperlink>
      <w:r w:rsidR="00333A2A">
        <w:rPr>
          <w:rFonts w:ascii="Aptos" w:hAnsi="Aptos"/>
        </w:rPr>
        <w:t xml:space="preserve"> </w:t>
      </w:r>
    </w:p>
    <w:p w14:paraId="4CE1A9B7" w14:textId="77777777" w:rsidR="003D6858" w:rsidRDefault="003D6858" w:rsidP="004B151F">
      <w:pPr>
        <w:rPr>
          <w:rFonts w:ascii="Aptos" w:hAnsi="Aptos"/>
        </w:rPr>
      </w:pPr>
    </w:p>
    <w:p w14:paraId="2C428A17" w14:textId="77777777" w:rsidR="00F13AAC" w:rsidRDefault="00F13AAC" w:rsidP="004B151F">
      <w:pPr>
        <w:rPr>
          <w:rFonts w:ascii="Aptos" w:hAnsi="Aptos"/>
        </w:rPr>
      </w:pPr>
    </w:p>
    <w:p w14:paraId="30A7AE81" w14:textId="4E43E1D3" w:rsidR="00F13AAC" w:rsidRDefault="0047586D" w:rsidP="004B151F">
      <w:pPr>
        <w:rPr>
          <w:rFonts w:ascii="Aptos" w:hAnsi="Aptos"/>
        </w:rPr>
      </w:pPr>
      <w:r w:rsidRPr="004F441D">
        <w:rPr>
          <w:rFonts w:ascii="Aptos" w:hAnsi="Aptos"/>
          <w:b/>
          <w:bCs/>
        </w:rPr>
        <w:t>CoreGenes 5.0</w:t>
      </w:r>
      <w:r>
        <w:rPr>
          <w:rFonts w:ascii="Aptos" w:hAnsi="Aptos"/>
        </w:rPr>
        <w:t xml:space="preserve"> analysis [5] revealed that the phages within this proposed subfamily possessed 87 common proteins (74</w:t>
      </w:r>
      <w:r w:rsidR="004F441D">
        <w:rPr>
          <w:rFonts w:ascii="Aptos" w:hAnsi="Aptos"/>
        </w:rPr>
        <w:t>% similar</w:t>
      </w:r>
      <w:r>
        <w:rPr>
          <w:rFonts w:ascii="Aptos" w:hAnsi="Aptos"/>
        </w:rPr>
        <w:t xml:space="preserve">).  These included integrase, </w:t>
      </w:r>
      <w:r w:rsidRPr="0047586D">
        <w:rPr>
          <w:rFonts w:ascii="Aptos" w:hAnsi="Aptos"/>
        </w:rPr>
        <w:t>ParB-like partition protein</w:t>
      </w:r>
      <w:r>
        <w:rPr>
          <w:rFonts w:ascii="Aptos" w:hAnsi="Aptos"/>
        </w:rPr>
        <w:t xml:space="preserve">, portal, major capsid </w:t>
      </w:r>
      <w:r w:rsidR="003D6858">
        <w:rPr>
          <w:rFonts w:ascii="Aptos" w:hAnsi="Aptos"/>
        </w:rPr>
        <w:t xml:space="preserve">&amp; tail </w:t>
      </w:r>
      <w:r>
        <w:rPr>
          <w:rFonts w:ascii="Aptos" w:hAnsi="Aptos"/>
        </w:rPr>
        <w:t>protein</w:t>
      </w:r>
      <w:r w:rsidR="003D6858">
        <w:rPr>
          <w:rFonts w:ascii="Aptos" w:hAnsi="Aptos"/>
        </w:rPr>
        <w:t>s</w:t>
      </w:r>
      <w:r>
        <w:rPr>
          <w:rFonts w:ascii="Aptos" w:hAnsi="Aptos"/>
        </w:rPr>
        <w:t xml:space="preserve">, tail tapemeasure protein, </w:t>
      </w:r>
      <w:r w:rsidR="003D6858">
        <w:rPr>
          <w:rFonts w:ascii="Aptos" w:hAnsi="Aptos"/>
        </w:rPr>
        <w:t>eight</w:t>
      </w:r>
      <w:r>
        <w:rPr>
          <w:rFonts w:ascii="Aptos" w:hAnsi="Aptos"/>
        </w:rPr>
        <w:t xml:space="preserve"> minor tail proteins, holin</w:t>
      </w:r>
      <w:r w:rsidR="003D6858">
        <w:rPr>
          <w:rFonts w:ascii="Aptos" w:hAnsi="Aptos"/>
        </w:rPr>
        <w:t xml:space="preserve"> and a </w:t>
      </w:r>
      <w:r w:rsidR="003D6858" w:rsidRPr="003D6858">
        <w:rPr>
          <w:rFonts w:ascii="Aptos" w:hAnsi="Aptos"/>
        </w:rPr>
        <w:t>queuine</w:t>
      </w:r>
      <w:r w:rsidR="003D6858">
        <w:rPr>
          <w:rFonts w:ascii="Aptos" w:hAnsi="Aptos"/>
        </w:rPr>
        <w:t xml:space="preserve"> biosynthetic operon for tRNA modification.</w:t>
      </w:r>
    </w:p>
    <w:p w14:paraId="62AF31E3" w14:textId="77777777" w:rsidR="00F13AAC" w:rsidRDefault="00F13AAC" w:rsidP="004B151F">
      <w:pPr>
        <w:rPr>
          <w:rFonts w:ascii="Aptos" w:hAnsi="Aptos"/>
        </w:rPr>
      </w:pPr>
    </w:p>
    <w:p w14:paraId="5423861B" w14:textId="39D36E0B" w:rsidR="00F13AAC" w:rsidRDefault="00F13AAC" w:rsidP="00F13AAC">
      <w:pPr>
        <w:jc w:val="center"/>
        <w:rPr>
          <w:rFonts w:ascii="Aptos" w:hAnsi="Aptos"/>
        </w:rPr>
      </w:pPr>
      <w:r>
        <w:rPr>
          <w:rFonts w:ascii="Aptos" w:hAnsi="Aptos"/>
          <w:noProof/>
        </w:rPr>
        <w:lastRenderedPageBreak/>
        <w:drawing>
          <wp:inline distT="0" distB="0" distL="0" distR="0" wp14:anchorId="7F315C0E" wp14:editId="2F0FB2C5">
            <wp:extent cx="2108680" cy="2972477"/>
            <wp:effectExtent l="0" t="0" r="6350" b="0"/>
            <wp:docPr id="13853200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320065" name="Picture 1385320065"/>
                    <pic:cNvPicPr/>
                  </pic:nvPicPr>
                  <pic:blipFill>
                    <a:blip r:embed="rId18">
                      <a:extLst>
                        <a:ext uri="{28A0092B-C50C-407E-A947-70E740481C1C}">
                          <a14:useLocalDpi xmlns:a14="http://schemas.microsoft.com/office/drawing/2010/main" val="0"/>
                        </a:ext>
                      </a:extLst>
                    </a:blip>
                    <a:stretch>
                      <a:fillRect/>
                    </a:stretch>
                  </pic:blipFill>
                  <pic:spPr>
                    <a:xfrm>
                      <a:off x="0" y="0"/>
                      <a:ext cx="2108680" cy="2972477"/>
                    </a:xfrm>
                    <a:prstGeom prst="rect">
                      <a:avLst/>
                    </a:prstGeom>
                  </pic:spPr>
                </pic:pic>
              </a:graphicData>
            </a:graphic>
          </wp:inline>
        </w:drawing>
      </w:r>
    </w:p>
    <w:p w14:paraId="5556E8C1" w14:textId="610A3147" w:rsidR="00A174CC" w:rsidRPr="00F13AAC" w:rsidRDefault="00F13AAC" w:rsidP="00F13AAC">
      <w:pPr>
        <w:jc w:val="center"/>
        <w:rPr>
          <w:rFonts w:ascii="Aptos" w:hAnsi="Aptos"/>
        </w:rPr>
      </w:pPr>
      <w:r w:rsidRPr="00F13AAC">
        <w:rPr>
          <w:rFonts w:ascii="Aptos" w:hAnsi="Aptos"/>
        </w:rPr>
        <w:t>(</w:t>
      </w:r>
      <w:r w:rsidRPr="00F13AAC">
        <w:rPr>
          <w:rFonts w:ascii="Aptos" w:hAnsi="Aptos"/>
          <w:b/>
          <w:bCs/>
        </w:rPr>
        <w:t>Figure 5</w:t>
      </w:r>
      <w:r>
        <w:rPr>
          <w:rFonts w:ascii="Aptos" w:hAnsi="Aptos"/>
        </w:rPr>
        <w:t xml:space="preserve"> </w:t>
      </w:r>
      <w:r w:rsidRPr="00F13AAC">
        <w:rPr>
          <w:rFonts w:ascii="Aptos" w:hAnsi="Aptos"/>
        </w:rPr>
        <w:t xml:space="preserve">photograph derived from: </w:t>
      </w:r>
      <w:hyperlink r:id="rId19" w:history="1">
        <w:r w:rsidR="00263D6C" w:rsidRPr="003705DB">
          <w:rPr>
            <w:rStyle w:val="Hyperlink"/>
            <w:rFonts w:ascii="Aptos" w:hAnsi="Aptos"/>
          </w:rPr>
          <w:t>https://www.pressreader.com/canada/montreal-gazette/20061126/281719790089416?srsltid=AfmBOooSA_8oNQDyUNZH5VZTPl8u8fiN3e90tYJm8mrzbshWgDyksKwh</w:t>
        </w:r>
      </w:hyperlink>
      <w:r w:rsidR="00263D6C">
        <w:rPr>
          <w:rFonts w:ascii="Aptos" w:hAnsi="Aptos"/>
        </w:rPr>
        <w:t xml:space="preserve"> </w:t>
      </w:r>
      <w:r w:rsidRPr="00F13AAC">
        <w:rPr>
          <w:rFonts w:ascii="Aptos" w:hAnsi="Aptos"/>
        </w:rPr>
        <w:t>)</w:t>
      </w:r>
    </w:p>
    <w:p w14:paraId="52CEDE62" w14:textId="7EBF031C" w:rsidR="000B1F8B" w:rsidRPr="000B1F8B" w:rsidRDefault="000B1F8B" w:rsidP="00FC2269">
      <w:pPr>
        <w:rPr>
          <w:rFonts w:ascii="Aptos" w:hAnsi="Aptos"/>
        </w:rPr>
      </w:pPr>
      <w:r w:rsidRPr="000B1F8B">
        <w:rPr>
          <w:rFonts w:ascii="Aptos" w:hAnsi="Aptos"/>
        </w:rPr>
        <w:t xml:space="preserve">This taxon is named in honour of </w:t>
      </w:r>
      <w:r w:rsidR="00F13AAC">
        <w:rPr>
          <w:rFonts w:ascii="Aptos" w:hAnsi="Aptos"/>
        </w:rPr>
        <w:t xml:space="preserve">Dr. </w:t>
      </w:r>
      <w:r w:rsidRPr="000B1F8B">
        <w:rPr>
          <w:rFonts w:ascii="Aptos" w:hAnsi="Aptos"/>
        </w:rPr>
        <w:t>E</w:t>
      </w:r>
      <w:r w:rsidR="00F13AAC">
        <w:rPr>
          <w:rFonts w:ascii="Aptos" w:hAnsi="Aptos"/>
        </w:rPr>
        <w:t>dith</w:t>
      </w:r>
      <w:r w:rsidRPr="000B1F8B">
        <w:rPr>
          <w:rFonts w:ascii="Aptos" w:hAnsi="Aptos"/>
        </w:rPr>
        <w:t xml:space="preserve"> M</w:t>
      </w:r>
      <w:r w:rsidR="00F13AAC">
        <w:rPr>
          <w:rFonts w:ascii="Aptos" w:hAnsi="Aptos"/>
        </w:rPr>
        <w:t>arion</w:t>
      </w:r>
      <w:r w:rsidRPr="000B1F8B">
        <w:rPr>
          <w:rFonts w:ascii="Aptos" w:hAnsi="Aptos"/>
        </w:rPr>
        <w:t xml:space="preserve"> M</w:t>
      </w:r>
      <w:r w:rsidR="00F13AAC">
        <w:rPr>
          <w:rFonts w:ascii="Aptos" w:hAnsi="Aptos"/>
        </w:rPr>
        <w:t xml:space="preserve">ankiewicz </w:t>
      </w:r>
      <w:r w:rsidRPr="000B1F8B">
        <w:rPr>
          <w:rFonts w:ascii="Aptos" w:hAnsi="Aptos"/>
        </w:rPr>
        <w:t>M.SC., D.SC., M.D., C.S.P</w:t>
      </w:r>
      <w:r w:rsidR="00F13AAC">
        <w:rPr>
          <w:rFonts w:ascii="Aptos" w:hAnsi="Aptos"/>
        </w:rPr>
        <w:t xml:space="preserve">.  </w:t>
      </w:r>
      <w:r w:rsidRPr="000B1F8B">
        <w:rPr>
          <w:rFonts w:ascii="Aptos" w:hAnsi="Aptos"/>
        </w:rPr>
        <w:t>Dr. Mankiewicz was born in Leipzig, Germany (1910)</w:t>
      </w:r>
      <w:r w:rsidR="00F13AAC">
        <w:rPr>
          <w:rFonts w:ascii="Aptos" w:hAnsi="Aptos"/>
        </w:rPr>
        <w:t xml:space="preserve"> and </w:t>
      </w:r>
      <w:r w:rsidRPr="000B1F8B">
        <w:rPr>
          <w:rFonts w:ascii="Aptos" w:hAnsi="Aptos"/>
        </w:rPr>
        <w:t xml:space="preserve">died </w:t>
      </w:r>
      <w:r w:rsidR="00F13AAC">
        <w:rPr>
          <w:rFonts w:ascii="Aptos" w:hAnsi="Aptos"/>
        </w:rPr>
        <w:t xml:space="preserve">in </w:t>
      </w:r>
      <w:r w:rsidRPr="000B1F8B">
        <w:rPr>
          <w:rFonts w:ascii="Aptos" w:hAnsi="Aptos"/>
        </w:rPr>
        <w:t>Montreal (QC) Canada (2006). A fearless pioneer in microbiology, her area of specialization was in the exploration of pulmonary disease. She twice contracted tuberculosis, yet each time she returned to do further research in its diagnosis and treatment. Her work resulted in crucial contributions to the global eradication of the disease. In 1933, she married Harald (Rene) Mankiewicz, a young judge in Germany at the time. When he sentenced supporters of the Nazi regime to jail, the couple's life was placed in grave danger and they were forced into exile. They received a warm welcome in France where both repeated their studies and graduated with honours. Both were mobilized during the war. Dr. Mankiewicz was appointed director of a hospital for children who had been evacuated to the French countryside. During the German occupation, they were blacklisted and forced to move again - - this time to the French quarter of Shanghai, where Dr. Mankiewicz became a Professor of Medicine at the Université Aurore, and Interim Director of the Pasteur Institute. Dr. Mankiewicz also established a private medical laboratory to provide work opportunities to Jewish physicians who otherwise could not leave their enclave in the outskirts of Shanghai. For her work during the war, she was awarded the Croix de Lorraine by the representative of General Charles de Gaulle. At the end of the war, Dr. Mankiewicz emigrated to Canada with her husband and two young children. At the age of 36, she was forced to start life anew - - re-doing her medical studies to become certified as a doctor in Canada and then rising to become the Director of Laboratories at the Montreal Chest Hospital. Later, she became Director of the Microbiology Laboratory at the Lakeshore General Hospital, where she worked until she was over 80. She also lectured at both McGill University and Université de Montreal and was co-founder of the Association for the Study of Pulmonary Cancer.</w:t>
      </w:r>
      <w:r>
        <w:rPr>
          <w:rFonts w:ascii="Aptos" w:hAnsi="Aptos"/>
        </w:rPr>
        <w:t xml:space="preserve">  </w:t>
      </w:r>
      <w:r w:rsidR="00F13AAC">
        <w:rPr>
          <w:rFonts w:ascii="Aptos" w:hAnsi="Aptos"/>
        </w:rPr>
        <w:t xml:space="preserve">(quoted from:  </w:t>
      </w:r>
      <w:hyperlink r:id="rId20" w:history="1">
        <w:r w:rsidR="00F13AAC" w:rsidRPr="00D64F7D">
          <w:rPr>
            <w:rStyle w:val="Hyperlink"/>
            <w:rFonts w:ascii="Aptos" w:hAnsi="Aptos"/>
          </w:rPr>
          <w:t>https://www.legacy.com/ca/obituaries/theglobeandmail/name/edith-mankiewicz-obituary?id=41619276</w:t>
        </w:r>
      </w:hyperlink>
      <w:r w:rsidR="00F13AAC">
        <w:rPr>
          <w:rFonts w:ascii="Aptos" w:hAnsi="Aptos"/>
        </w:rPr>
        <w:t>).   She developed phage typin</w:t>
      </w:r>
      <w:r w:rsidR="00BC5B51">
        <w:rPr>
          <w:rFonts w:ascii="Aptos" w:hAnsi="Aptos"/>
        </w:rPr>
        <w:t>g</w:t>
      </w:r>
      <w:r w:rsidR="00F13AAC">
        <w:rPr>
          <w:rFonts w:ascii="Aptos" w:hAnsi="Aptos"/>
        </w:rPr>
        <w:t xml:space="preserve"> schemes for </w:t>
      </w:r>
      <w:r w:rsidR="00F13AAC" w:rsidRPr="00F13AAC">
        <w:rPr>
          <w:rFonts w:ascii="Aptos" w:hAnsi="Aptos"/>
          <w:i/>
          <w:iCs/>
        </w:rPr>
        <w:t>Mycobacterium</w:t>
      </w:r>
      <w:r w:rsidR="00F13AAC">
        <w:rPr>
          <w:rFonts w:ascii="Aptos" w:hAnsi="Aptos"/>
        </w:rPr>
        <w:t>.</w:t>
      </w:r>
    </w:p>
    <w:sectPr w:rsidR="000B1F8B" w:rsidRPr="000B1F8B" w:rsidSect="00A82FBB">
      <w:headerReference w:type="default" r:id="rId21"/>
      <w:footerReference w:type="default" r:id="rId22"/>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7F0E2" w14:textId="77777777" w:rsidR="009B6FF8" w:rsidRDefault="009B6FF8">
      <w:r>
        <w:separator/>
      </w:r>
    </w:p>
  </w:endnote>
  <w:endnote w:type="continuationSeparator" w:id="0">
    <w:p w14:paraId="42ADD0E9" w14:textId="77777777" w:rsidR="009B6FF8" w:rsidRDefault="009B6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21440" w14:textId="77777777" w:rsidR="009B6FF8" w:rsidRDefault="009B6FF8">
      <w:r>
        <w:separator/>
      </w:r>
    </w:p>
  </w:footnote>
  <w:footnote w:type="continuationSeparator" w:id="0">
    <w:p w14:paraId="24168CCA" w14:textId="77777777" w:rsidR="009B6FF8" w:rsidRDefault="009B6F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6453465">
    <w:abstractNumId w:val="0"/>
  </w:num>
  <w:num w:numId="2" w16cid:durableId="730929281">
    <w:abstractNumId w:val="3"/>
  </w:num>
  <w:num w:numId="3" w16cid:durableId="1666594820">
    <w:abstractNumId w:val="1"/>
  </w:num>
  <w:num w:numId="4" w16cid:durableId="2029208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21F0"/>
    <w:rsid w:val="00017BF9"/>
    <w:rsid w:val="00023385"/>
    <w:rsid w:val="00035A87"/>
    <w:rsid w:val="000406E1"/>
    <w:rsid w:val="00040CB0"/>
    <w:rsid w:val="0004176B"/>
    <w:rsid w:val="000449DB"/>
    <w:rsid w:val="0008012E"/>
    <w:rsid w:val="000A146A"/>
    <w:rsid w:val="000A7027"/>
    <w:rsid w:val="000B1BF3"/>
    <w:rsid w:val="000B1F8B"/>
    <w:rsid w:val="000B5D78"/>
    <w:rsid w:val="000B6878"/>
    <w:rsid w:val="000B6E4D"/>
    <w:rsid w:val="000D182E"/>
    <w:rsid w:val="000E46F6"/>
    <w:rsid w:val="000E54FF"/>
    <w:rsid w:val="000E6908"/>
    <w:rsid w:val="000F51F4"/>
    <w:rsid w:val="000F7067"/>
    <w:rsid w:val="00106232"/>
    <w:rsid w:val="0011008F"/>
    <w:rsid w:val="00114D9E"/>
    <w:rsid w:val="00117C72"/>
    <w:rsid w:val="0013113D"/>
    <w:rsid w:val="001322FC"/>
    <w:rsid w:val="00171083"/>
    <w:rsid w:val="00172351"/>
    <w:rsid w:val="001975F5"/>
    <w:rsid w:val="001D0007"/>
    <w:rsid w:val="001D3E3E"/>
    <w:rsid w:val="0021132D"/>
    <w:rsid w:val="00220A26"/>
    <w:rsid w:val="002312CE"/>
    <w:rsid w:val="0023149A"/>
    <w:rsid w:val="0023696B"/>
    <w:rsid w:val="0024086E"/>
    <w:rsid w:val="0025498B"/>
    <w:rsid w:val="00263D6C"/>
    <w:rsid w:val="00273642"/>
    <w:rsid w:val="00296DA3"/>
    <w:rsid w:val="002A5A83"/>
    <w:rsid w:val="002D4340"/>
    <w:rsid w:val="00327E73"/>
    <w:rsid w:val="00333392"/>
    <w:rsid w:val="00333A2A"/>
    <w:rsid w:val="00355CE0"/>
    <w:rsid w:val="00363A30"/>
    <w:rsid w:val="0037243A"/>
    <w:rsid w:val="00382C24"/>
    <w:rsid w:val="00382FE8"/>
    <w:rsid w:val="00383BBF"/>
    <w:rsid w:val="0038593F"/>
    <w:rsid w:val="003A166F"/>
    <w:rsid w:val="003A18C5"/>
    <w:rsid w:val="003A5ED7"/>
    <w:rsid w:val="003B0883"/>
    <w:rsid w:val="003B3832"/>
    <w:rsid w:val="003C5428"/>
    <w:rsid w:val="003D6858"/>
    <w:rsid w:val="003E0AEA"/>
    <w:rsid w:val="003F2A97"/>
    <w:rsid w:val="00411081"/>
    <w:rsid w:val="0043110C"/>
    <w:rsid w:val="00437970"/>
    <w:rsid w:val="00471256"/>
    <w:rsid w:val="0047586D"/>
    <w:rsid w:val="004B151F"/>
    <w:rsid w:val="004F2F1E"/>
    <w:rsid w:val="004F3196"/>
    <w:rsid w:val="004F441D"/>
    <w:rsid w:val="00536426"/>
    <w:rsid w:val="00543F86"/>
    <w:rsid w:val="0055461D"/>
    <w:rsid w:val="0058465A"/>
    <w:rsid w:val="00590DF3"/>
    <w:rsid w:val="005A54C3"/>
    <w:rsid w:val="005B152A"/>
    <w:rsid w:val="005B4C7D"/>
    <w:rsid w:val="006043FB"/>
    <w:rsid w:val="00607227"/>
    <w:rsid w:val="006109F7"/>
    <w:rsid w:val="00647814"/>
    <w:rsid w:val="00673922"/>
    <w:rsid w:val="0067795B"/>
    <w:rsid w:val="00683D0C"/>
    <w:rsid w:val="0069192D"/>
    <w:rsid w:val="006A573A"/>
    <w:rsid w:val="006B7AB8"/>
    <w:rsid w:val="006C0F51"/>
    <w:rsid w:val="006D18F6"/>
    <w:rsid w:val="006D428E"/>
    <w:rsid w:val="006F33B7"/>
    <w:rsid w:val="00723577"/>
    <w:rsid w:val="0072682D"/>
    <w:rsid w:val="00736440"/>
    <w:rsid w:val="00737875"/>
    <w:rsid w:val="00740A3F"/>
    <w:rsid w:val="00741880"/>
    <w:rsid w:val="007B0F70"/>
    <w:rsid w:val="007B6511"/>
    <w:rsid w:val="007E0EF5"/>
    <w:rsid w:val="007E3FAE"/>
    <w:rsid w:val="007E667B"/>
    <w:rsid w:val="00822B3A"/>
    <w:rsid w:val="00824208"/>
    <w:rsid w:val="008308A0"/>
    <w:rsid w:val="00852D43"/>
    <w:rsid w:val="00865726"/>
    <w:rsid w:val="008815EE"/>
    <w:rsid w:val="00883A5C"/>
    <w:rsid w:val="008A22E9"/>
    <w:rsid w:val="008B43B1"/>
    <w:rsid w:val="008F51E2"/>
    <w:rsid w:val="00901EBC"/>
    <w:rsid w:val="00903048"/>
    <w:rsid w:val="009078FF"/>
    <w:rsid w:val="009457C8"/>
    <w:rsid w:val="00953FFE"/>
    <w:rsid w:val="00964F7C"/>
    <w:rsid w:val="009703AF"/>
    <w:rsid w:val="00974174"/>
    <w:rsid w:val="009741D1"/>
    <w:rsid w:val="00974C28"/>
    <w:rsid w:val="00976E37"/>
    <w:rsid w:val="009A3B4A"/>
    <w:rsid w:val="009B6FF8"/>
    <w:rsid w:val="009C178E"/>
    <w:rsid w:val="009F7856"/>
    <w:rsid w:val="00A10BA1"/>
    <w:rsid w:val="00A1108C"/>
    <w:rsid w:val="00A174CC"/>
    <w:rsid w:val="00A2357C"/>
    <w:rsid w:val="00A443CA"/>
    <w:rsid w:val="00A558C2"/>
    <w:rsid w:val="00A71C40"/>
    <w:rsid w:val="00A77B8E"/>
    <w:rsid w:val="00A82FBB"/>
    <w:rsid w:val="00AA4711"/>
    <w:rsid w:val="00AD201A"/>
    <w:rsid w:val="00AD2884"/>
    <w:rsid w:val="00AD5A3A"/>
    <w:rsid w:val="00AD759B"/>
    <w:rsid w:val="00AE2E79"/>
    <w:rsid w:val="00AE528C"/>
    <w:rsid w:val="00AF4998"/>
    <w:rsid w:val="00B03B7F"/>
    <w:rsid w:val="00B1187F"/>
    <w:rsid w:val="00B14BF9"/>
    <w:rsid w:val="00B35CC8"/>
    <w:rsid w:val="00B47589"/>
    <w:rsid w:val="00BC5B51"/>
    <w:rsid w:val="00BD6C0B"/>
    <w:rsid w:val="00BD7967"/>
    <w:rsid w:val="00BE4F5A"/>
    <w:rsid w:val="00C0710C"/>
    <w:rsid w:val="00C321B1"/>
    <w:rsid w:val="00C5052E"/>
    <w:rsid w:val="00C55633"/>
    <w:rsid w:val="00C8775F"/>
    <w:rsid w:val="00C95FB7"/>
    <w:rsid w:val="00CD2C82"/>
    <w:rsid w:val="00CF59EA"/>
    <w:rsid w:val="00D04287"/>
    <w:rsid w:val="00D062BE"/>
    <w:rsid w:val="00D10857"/>
    <w:rsid w:val="00D13AD5"/>
    <w:rsid w:val="00D23567"/>
    <w:rsid w:val="00D46663"/>
    <w:rsid w:val="00D77E1C"/>
    <w:rsid w:val="00DC4A69"/>
    <w:rsid w:val="00DD58AA"/>
    <w:rsid w:val="00DE01F5"/>
    <w:rsid w:val="00E034BE"/>
    <w:rsid w:val="00E37077"/>
    <w:rsid w:val="00E50727"/>
    <w:rsid w:val="00E83FA7"/>
    <w:rsid w:val="00E863D4"/>
    <w:rsid w:val="00E92794"/>
    <w:rsid w:val="00E969AE"/>
    <w:rsid w:val="00ED4569"/>
    <w:rsid w:val="00EE484F"/>
    <w:rsid w:val="00EF2448"/>
    <w:rsid w:val="00F110F7"/>
    <w:rsid w:val="00F13AAC"/>
    <w:rsid w:val="00F46AED"/>
    <w:rsid w:val="00F62692"/>
    <w:rsid w:val="00F711CE"/>
    <w:rsid w:val="00F74510"/>
    <w:rsid w:val="00F9028E"/>
    <w:rsid w:val="00F911F1"/>
    <w:rsid w:val="00F943F9"/>
    <w:rsid w:val="00FA1DC3"/>
    <w:rsid w:val="00FA5310"/>
    <w:rsid w:val="00FB300C"/>
    <w:rsid w:val="00FC2269"/>
    <w:rsid w:val="00FF4171"/>
    <w:rsid w:val="046E795A"/>
    <w:rsid w:val="0AA9F3BB"/>
    <w:rsid w:val="0D117A99"/>
    <w:rsid w:val="0D7EE74A"/>
    <w:rsid w:val="0E863F6D"/>
    <w:rsid w:val="1184557E"/>
    <w:rsid w:val="1AD1F7BF"/>
    <w:rsid w:val="1DFD13C4"/>
    <w:rsid w:val="1EC0B2A8"/>
    <w:rsid w:val="22BD157F"/>
    <w:rsid w:val="25D7E70C"/>
    <w:rsid w:val="29A6D9B5"/>
    <w:rsid w:val="2CB40B7A"/>
    <w:rsid w:val="2DB38561"/>
    <w:rsid w:val="33AA6F11"/>
    <w:rsid w:val="342664E4"/>
    <w:rsid w:val="35E6EEF9"/>
    <w:rsid w:val="3649936B"/>
    <w:rsid w:val="3C6C65BD"/>
    <w:rsid w:val="3D1A1F7B"/>
    <w:rsid w:val="3D7D1E0C"/>
    <w:rsid w:val="3DFCA1E9"/>
    <w:rsid w:val="3E732885"/>
    <w:rsid w:val="3F7C4FB8"/>
    <w:rsid w:val="3FB31E03"/>
    <w:rsid w:val="411A7073"/>
    <w:rsid w:val="421F05AA"/>
    <w:rsid w:val="44ABAA11"/>
    <w:rsid w:val="4503E06D"/>
    <w:rsid w:val="46254E96"/>
    <w:rsid w:val="48F9DE60"/>
    <w:rsid w:val="4B386C6B"/>
    <w:rsid w:val="4B3A4F47"/>
    <w:rsid w:val="4B7A6D5F"/>
    <w:rsid w:val="4F81ABC8"/>
    <w:rsid w:val="56575920"/>
    <w:rsid w:val="588E992F"/>
    <w:rsid w:val="58DBF0DC"/>
    <w:rsid w:val="59478A3A"/>
    <w:rsid w:val="5958CB5F"/>
    <w:rsid w:val="59598F8D"/>
    <w:rsid w:val="5A1E9415"/>
    <w:rsid w:val="6098CC3D"/>
    <w:rsid w:val="60C344B7"/>
    <w:rsid w:val="61ED0AF6"/>
    <w:rsid w:val="6F1C748D"/>
    <w:rsid w:val="6F780F7B"/>
    <w:rsid w:val="7248374E"/>
    <w:rsid w:val="799AB7AA"/>
    <w:rsid w:val="79F7AE27"/>
    <w:rsid w:val="7D61D942"/>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63D6C"/>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rna.usegalaxy.eu/" TargetMode="External"/><Relationship Id="rId2" Type="http://schemas.openxmlformats.org/officeDocument/2006/relationships/numbering" Target="numbering.xml"/><Relationship Id="rId16" Type="http://schemas.openxmlformats.org/officeDocument/2006/relationships/hyperlink" Target="https://www.phylogeny.fr" TargetMode="External"/><Relationship Id="rId20" Type="http://schemas.openxmlformats.org/officeDocument/2006/relationships/hyperlink" Target="https://www.legacy.com/ca/obituaries/theglobeandmail/name/edith-mankiewicz-obituary?id=4161927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tv.global/ictv/proposals/2021.011B.R.Bippervirus.zip"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hyperlink" Target="https://ictv.global/ictv/proposals/2021.011B.R.Bippervirus.zip" TargetMode="External"/><Relationship Id="rId19" Type="http://schemas.openxmlformats.org/officeDocument/2006/relationships/hyperlink" Target="https://www.pressreader.com/canada/montreal-gazette/20061126/281719790089416?srsltid=AfmBOooSA_8oNQDyUNZH5VZTPl8u8fiN3e90tYJm8mrzbshWgDyksKwh" TargetMode="External"/><Relationship Id="rId4" Type="http://schemas.openxmlformats.org/officeDocument/2006/relationships/settings" Target="settings.xml"/><Relationship Id="rId9" Type="http://schemas.openxmlformats.org/officeDocument/2006/relationships/hyperlink" Target="https://ictv.global/sc" TargetMode="External"/><Relationship Id="rId14" Type="http://schemas.openxmlformats.org/officeDocument/2006/relationships/image" Target="media/image4.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9</Pages>
  <Words>2088</Words>
  <Characters>11907</Characters>
  <Application>Microsoft Office Word</Application>
  <DocSecurity>0</DocSecurity>
  <Lines>99</Lines>
  <Paragraphs>27</Paragraphs>
  <ScaleCrop>false</ScaleCrop>
  <Company/>
  <LinksUpToDate>false</LinksUpToDate>
  <CharactersWithSpaces>13968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21</cp:revision>
  <dcterms:created xsi:type="dcterms:W3CDTF">2026-09-10T17:55:00Z</dcterms:created>
  <dcterms:modified xsi:type="dcterms:W3CDTF">2026-09-12T19:42:00Z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