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5BF06D7B"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195FD7">
        <w:rPr>
          <w:rFonts w:ascii="Aptos" w:hAnsi="Aptos"/>
        </w:rPr>
        <w:t xml:space="preserve"> </w:t>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517"/>
      </w:tblGrid>
      <w:tr w:rsidR="00E37077" w:rsidRPr="00C95FB7" w14:paraId="3BAAFFE7" w14:textId="77777777" w:rsidTr="00A82735">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517" w:type="dxa"/>
            <w:vAlign w:val="center"/>
          </w:tcPr>
          <w:p w14:paraId="693BF175" w14:textId="0B4566F3" w:rsidR="00E37077" w:rsidRPr="001D0007" w:rsidRDefault="00FD58E0" w:rsidP="00DD58AA">
            <w:pPr>
              <w:rPr>
                <w:rFonts w:ascii="Aptos" w:hAnsi="Aptos" w:cs="Arial"/>
                <w:color w:val="000000" w:themeColor="text1"/>
                <w:sz w:val="20"/>
              </w:rPr>
            </w:pPr>
            <w:r w:rsidRPr="00FD58E0">
              <w:rPr>
                <w:rFonts w:ascii="Aptos" w:hAnsi="Aptos" w:cs="Arial"/>
                <w:color w:val="000000" w:themeColor="text1"/>
                <w:sz w:val="20"/>
              </w:rPr>
              <w:t xml:space="preserve">Creating </w:t>
            </w:r>
            <w:r w:rsidR="0051505E" w:rsidRPr="0051505E">
              <w:rPr>
                <w:rFonts w:ascii="Aptos" w:hAnsi="Aptos" w:cs="Arial"/>
                <w:color w:val="000000" w:themeColor="text1"/>
                <w:sz w:val="20"/>
              </w:rPr>
              <w:t>of one new genus, including one new species, in the family Hirszfeldviridae</w:t>
            </w:r>
          </w:p>
        </w:tc>
      </w:tr>
      <w:tr w:rsidR="00E37077" w:rsidRPr="00C95FB7" w14:paraId="6479468A" w14:textId="77777777" w:rsidTr="00A82735">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517" w:type="dxa"/>
          </w:tcPr>
          <w:p w14:paraId="3A9C1428" w14:textId="08A11C3C" w:rsidR="00291A73" w:rsidRPr="00291A73" w:rsidRDefault="00291A73" w:rsidP="00DD58AA">
            <w:pPr>
              <w:pStyle w:val="BodyTextIndent"/>
              <w:ind w:left="0" w:firstLine="0"/>
              <w:rPr>
                <w:rFonts w:ascii="Aptos" w:hAnsi="Aptos" w:cs="Arial"/>
                <w:bCs/>
                <w:sz w:val="20"/>
              </w:rPr>
            </w:pPr>
            <w:r>
              <w:rPr>
                <w:rFonts w:ascii="Aptos" w:hAnsi="Aptos" w:cs="Arial"/>
                <w:bCs/>
                <w:sz w:val="20"/>
              </w:rPr>
              <w:t>2026.007B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625" w:type="dxa"/>
        <w:tblLayout w:type="fixed"/>
        <w:tblLook w:val="04A0" w:firstRow="1" w:lastRow="0" w:firstColumn="1" w:lastColumn="0" w:noHBand="0" w:noVBand="1"/>
      </w:tblPr>
      <w:tblGrid>
        <w:gridCol w:w="1838"/>
        <w:gridCol w:w="1418"/>
        <w:gridCol w:w="2229"/>
        <w:gridCol w:w="2880"/>
        <w:gridCol w:w="1260"/>
      </w:tblGrid>
      <w:tr w:rsidR="002D4340" w14:paraId="46D8D295" w14:textId="4B68158E" w:rsidTr="00BC1C12">
        <w:trPr>
          <w:trHeight w:val="173"/>
        </w:trPr>
        <w:tc>
          <w:tcPr>
            <w:tcW w:w="9625" w:type="dxa"/>
            <w:gridSpan w:val="5"/>
            <w:shd w:val="clear" w:color="auto" w:fill="F2F2F2" w:themeFill="background1" w:themeFillShade="F2"/>
          </w:tcPr>
          <w:p w14:paraId="730FC69E" w14:textId="7881C82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C1C12">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229" w:type="dxa"/>
            <w:shd w:val="clear" w:color="auto" w:fill="F2F2F2" w:themeFill="background1" w:themeFillShade="F2"/>
            <w:vAlign w:val="center"/>
          </w:tcPr>
          <w:p w14:paraId="31CF02AA" w14:textId="09E676C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880" w:type="dxa"/>
            <w:shd w:val="clear" w:color="auto" w:fill="F2F2F2" w:themeFill="background1" w:themeFillShade="F2"/>
            <w:vAlign w:val="center"/>
          </w:tcPr>
          <w:p w14:paraId="6DA5FEAF" w14:textId="0B411FCB"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260"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24787DB" w:rsidR="002D4340" w:rsidRPr="00AF4998" w:rsidRDefault="002D4340" w:rsidP="00AF4998">
            <w:pPr>
              <w:rPr>
                <w:rFonts w:ascii="Aptos" w:hAnsi="Aptos" w:cs="Arial"/>
                <w:color w:val="0070C0"/>
                <w:sz w:val="20"/>
                <w:szCs w:val="20"/>
              </w:rPr>
            </w:pPr>
          </w:p>
        </w:tc>
      </w:tr>
      <w:tr w:rsidR="002D4340" w14:paraId="24E4F537" w14:textId="79E9BB15" w:rsidTr="00BC1C12">
        <w:tc>
          <w:tcPr>
            <w:tcW w:w="1838" w:type="dxa"/>
            <w:shd w:val="clear" w:color="auto" w:fill="FFFFFF" w:themeFill="background1"/>
            <w:vAlign w:val="center"/>
          </w:tcPr>
          <w:p w14:paraId="6EA9DED5" w14:textId="182E889A" w:rsidR="002D4340" w:rsidRPr="00CD2C82" w:rsidRDefault="004126EE" w:rsidP="00E863D4">
            <w:pPr>
              <w:rPr>
                <w:rFonts w:ascii="Aptos" w:hAnsi="Aptos" w:cs="Arial"/>
                <w:bCs/>
                <w:color w:val="000000" w:themeColor="text1"/>
                <w:sz w:val="20"/>
                <w:szCs w:val="20"/>
              </w:rPr>
            </w:pPr>
            <w:r>
              <w:rPr>
                <w:rFonts w:ascii="Aptos" w:hAnsi="Aptos" w:cs="Arial"/>
                <w:bCs/>
                <w:color w:val="000000" w:themeColor="text1"/>
                <w:sz w:val="20"/>
                <w:szCs w:val="20"/>
              </w:rPr>
              <w:t xml:space="preserve">Marjan </w:t>
            </w:r>
          </w:p>
        </w:tc>
        <w:tc>
          <w:tcPr>
            <w:tcW w:w="1418" w:type="dxa"/>
            <w:shd w:val="clear" w:color="auto" w:fill="FFFFFF" w:themeFill="background1"/>
            <w:vAlign w:val="center"/>
          </w:tcPr>
          <w:p w14:paraId="2759B022" w14:textId="585D96F1" w:rsidR="002D4340" w:rsidRPr="00CD2C82" w:rsidRDefault="0027148A" w:rsidP="00E863D4">
            <w:pPr>
              <w:rPr>
                <w:rFonts w:ascii="Aptos" w:hAnsi="Aptos" w:cs="Arial"/>
                <w:bCs/>
                <w:color w:val="000000" w:themeColor="text1"/>
                <w:sz w:val="20"/>
                <w:szCs w:val="20"/>
              </w:rPr>
            </w:pPr>
            <w:r>
              <w:rPr>
                <w:rFonts w:ascii="Aptos" w:hAnsi="Aptos" w:cs="Arial"/>
                <w:bCs/>
                <w:color w:val="000000" w:themeColor="text1"/>
                <w:sz w:val="20"/>
                <w:szCs w:val="20"/>
              </w:rPr>
              <w:t>Salahi</w:t>
            </w:r>
          </w:p>
        </w:tc>
        <w:tc>
          <w:tcPr>
            <w:tcW w:w="2229" w:type="dxa"/>
            <w:shd w:val="clear" w:color="auto" w:fill="FFFFFF" w:themeFill="background1"/>
            <w:vAlign w:val="center"/>
          </w:tcPr>
          <w:p w14:paraId="05D68F1D" w14:textId="6E62CC2E" w:rsidR="002D4340" w:rsidRPr="00CD2C82" w:rsidRDefault="004E4CE4" w:rsidP="00E863D4">
            <w:pPr>
              <w:rPr>
                <w:rFonts w:ascii="Aptos" w:hAnsi="Aptos" w:cs="Arial"/>
                <w:bCs/>
                <w:color w:val="000000" w:themeColor="text1"/>
                <w:sz w:val="20"/>
                <w:szCs w:val="20"/>
              </w:rPr>
            </w:pPr>
            <w:r w:rsidRPr="004E4CE4">
              <w:rPr>
                <w:rFonts w:ascii="Aptos" w:hAnsi="Aptos" w:cs="Arial"/>
                <w:bCs/>
                <w:color w:val="000000" w:themeColor="text1"/>
                <w:sz w:val="20"/>
                <w:szCs w:val="20"/>
              </w:rPr>
              <w:t>Laboratory Sciences Research Center, Golestan University of Medical Sciences, Gorgan,Iran</w:t>
            </w:r>
          </w:p>
        </w:tc>
        <w:tc>
          <w:tcPr>
            <w:tcW w:w="2880" w:type="dxa"/>
            <w:shd w:val="clear" w:color="auto" w:fill="FFFFFF" w:themeFill="background1"/>
            <w:vAlign w:val="center"/>
          </w:tcPr>
          <w:p w14:paraId="133CF739" w14:textId="70727443" w:rsidR="002D4340" w:rsidRPr="00CD2C82" w:rsidRDefault="00A079AA" w:rsidP="00E863D4">
            <w:pPr>
              <w:rPr>
                <w:rFonts w:ascii="Aptos" w:hAnsi="Aptos" w:cs="Arial"/>
                <w:bCs/>
                <w:color w:val="000000" w:themeColor="text1"/>
                <w:sz w:val="20"/>
                <w:szCs w:val="20"/>
              </w:rPr>
            </w:pPr>
            <w:r>
              <w:rPr>
                <w:rFonts w:ascii="Aptos" w:hAnsi="Aptos" w:cs="Arial"/>
                <w:bCs/>
                <w:color w:val="000000" w:themeColor="text1"/>
                <w:sz w:val="20"/>
                <w:szCs w:val="20"/>
              </w:rPr>
              <w:t>Marjansalahi1214@gmail.com</w:t>
            </w:r>
          </w:p>
        </w:tc>
        <w:tc>
          <w:tcPr>
            <w:tcW w:w="1260"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4E4CE4" w14:paraId="25991084" w14:textId="1F2FA2C1" w:rsidTr="00BC1C12">
        <w:tc>
          <w:tcPr>
            <w:tcW w:w="1838" w:type="dxa"/>
            <w:vAlign w:val="center"/>
          </w:tcPr>
          <w:p w14:paraId="7E9FF899" w14:textId="3FC4CB17" w:rsidR="004E4CE4" w:rsidRPr="00CD2C82" w:rsidRDefault="004E4CE4" w:rsidP="004E4CE4">
            <w:pPr>
              <w:rPr>
                <w:rFonts w:ascii="Aptos" w:hAnsi="Aptos" w:cs="Arial"/>
                <w:bCs/>
                <w:color w:val="000000" w:themeColor="text1"/>
                <w:sz w:val="20"/>
                <w:szCs w:val="20"/>
              </w:rPr>
            </w:pPr>
            <w:r>
              <w:rPr>
                <w:rFonts w:ascii="Aptos" w:hAnsi="Aptos" w:cs="Arial"/>
                <w:bCs/>
                <w:color w:val="000000" w:themeColor="text1"/>
                <w:sz w:val="20"/>
                <w:szCs w:val="20"/>
              </w:rPr>
              <w:t xml:space="preserve">Ezzatollah </w:t>
            </w:r>
          </w:p>
        </w:tc>
        <w:tc>
          <w:tcPr>
            <w:tcW w:w="1418" w:type="dxa"/>
            <w:vAlign w:val="center"/>
          </w:tcPr>
          <w:p w14:paraId="065089F1" w14:textId="047B4FC3" w:rsidR="004E4CE4" w:rsidRPr="00CD2C82" w:rsidRDefault="0027148A" w:rsidP="004E4CE4">
            <w:pPr>
              <w:rPr>
                <w:rFonts w:ascii="Aptos" w:hAnsi="Aptos" w:cs="Arial"/>
                <w:bCs/>
                <w:color w:val="000000" w:themeColor="text1"/>
                <w:sz w:val="20"/>
                <w:szCs w:val="20"/>
              </w:rPr>
            </w:pPr>
            <w:r>
              <w:rPr>
                <w:rFonts w:ascii="Aptos" w:hAnsi="Aptos" w:cs="Arial"/>
                <w:bCs/>
                <w:color w:val="000000" w:themeColor="text1"/>
                <w:sz w:val="20"/>
                <w:szCs w:val="20"/>
              </w:rPr>
              <w:t>Ghaemi</w:t>
            </w:r>
          </w:p>
        </w:tc>
        <w:tc>
          <w:tcPr>
            <w:tcW w:w="2229" w:type="dxa"/>
          </w:tcPr>
          <w:p w14:paraId="5A10F992" w14:textId="0A1FFC4A" w:rsidR="004E4CE4" w:rsidRPr="00CD2C82" w:rsidRDefault="004E4CE4" w:rsidP="004E4CE4">
            <w:pPr>
              <w:rPr>
                <w:rFonts w:ascii="Aptos" w:hAnsi="Aptos" w:cs="Arial"/>
                <w:bCs/>
                <w:color w:val="000000" w:themeColor="text1"/>
                <w:sz w:val="20"/>
                <w:szCs w:val="20"/>
              </w:rPr>
            </w:pPr>
            <w:r w:rsidRPr="004E4CE4">
              <w:rPr>
                <w:rFonts w:ascii="Aptos" w:hAnsi="Aptos" w:cs="Arial"/>
                <w:bCs/>
                <w:color w:val="000000" w:themeColor="text1"/>
                <w:sz w:val="20"/>
                <w:szCs w:val="20"/>
              </w:rPr>
              <w:t>Laboratory Sciences Research Center, Golestan University of Medical Sciences, Gorgan,Iran</w:t>
            </w:r>
          </w:p>
        </w:tc>
        <w:tc>
          <w:tcPr>
            <w:tcW w:w="2880" w:type="dxa"/>
            <w:vAlign w:val="center"/>
          </w:tcPr>
          <w:p w14:paraId="09EA0F21" w14:textId="77777777" w:rsidR="00BC1C12" w:rsidRPr="00BC1C12" w:rsidRDefault="00BC1C12" w:rsidP="00BC1C12">
            <w:pPr>
              <w:rPr>
                <w:rFonts w:ascii="Aptos" w:hAnsi="Aptos" w:cs="Arial"/>
                <w:bCs/>
                <w:color w:val="000000" w:themeColor="text1"/>
                <w:sz w:val="20"/>
                <w:szCs w:val="20"/>
              </w:rPr>
            </w:pPr>
            <w:r w:rsidRPr="00BC1C12">
              <w:rPr>
                <w:rFonts w:ascii="Aptos" w:hAnsi="Aptos" w:cs="Arial"/>
                <w:bCs/>
                <w:color w:val="000000" w:themeColor="text1"/>
                <w:sz w:val="20"/>
                <w:szCs w:val="20"/>
              </w:rPr>
              <w:tab/>
            </w:r>
          </w:p>
          <w:p w14:paraId="584336C5" w14:textId="73531397" w:rsidR="004E4CE4" w:rsidRPr="00CD2C82" w:rsidRDefault="00BC1C12" w:rsidP="00BC1C12">
            <w:pPr>
              <w:rPr>
                <w:rFonts w:ascii="Aptos" w:hAnsi="Aptos" w:cs="Arial"/>
                <w:bCs/>
                <w:color w:val="000000" w:themeColor="text1"/>
                <w:sz w:val="20"/>
                <w:szCs w:val="20"/>
              </w:rPr>
            </w:pPr>
            <w:r w:rsidRPr="00BC1C12">
              <w:rPr>
                <w:rFonts w:ascii="Aptos" w:hAnsi="Aptos" w:cs="Arial"/>
                <w:bCs/>
                <w:color w:val="000000" w:themeColor="text1"/>
                <w:sz w:val="20"/>
                <w:szCs w:val="20"/>
              </w:rPr>
              <w:t>eghaemi@yahoo.com</w:t>
            </w:r>
          </w:p>
        </w:tc>
        <w:tc>
          <w:tcPr>
            <w:tcW w:w="1260" w:type="dxa"/>
            <w:vAlign w:val="center"/>
          </w:tcPr>
          <w:p w14:paraId="01837D6A" w14:textId="5B526B73" w:rsidR="004E4CE4" w:rsidRPr="00CD2C82" w:rsidRDefault="004E4CE4" w:rsidP="004E4CE4">
            <w:pPr>
              <w:jc w:val="center"/>
              <w:rPr>
                <w:rFonts w:ascii="Aptos" w:hAnsi="Aptos" w:cs="Arial"/>
                <w:bCs/>
                <w:color w:val="000000" w:themeColor="text1"/>
                <w:sz w:val="20"/>
                <w:szCs w:val="20"/>
              </w:rPr>
            </w:pPr>
            <w:r w:rsidRPr="004E4CE4">
              <w:rPr>
                <w:rFonts w:ascii="Aptos" w:hAnsi="Aptos" w:cs="Arial"/>
                <w:bCs/>
                <w:color w:val="000000" w:themeColor="text1"/>
                <w:sz w:val="20"/>
                <w:szCs w:val="20"/>
              </w:rPr>
              <w:t>X</w:t>
            </w:r>
          </w:p>
        </w:tc>
      </w:tr>
      <w:tr w:rsidR="004E4CE4" w14:paraId="1B668FB3" w14:textId="2C6F00EF" w:rsidTr="00BC1C12">
        <w:tc>
          <w:tcPr>
            <w:tcW w:w="1838" w:type="dxa"/>
            <w:vAlign w:val="center"/>
          </w:tcPr>
          <w:p w14:paraId="7C1B4F79" w14:textId="5C80834C" w:rsidR="004E4CE4" w:rsidRPr="00CD2C82" w:rsidRDefault="004E4CE4" w:rsidP="004E4CE4">
            <w:pPr>
              <w:rPr>
                <w:rFonts w:ascii="Aptos" w:hAnsi="Aptos" w:cs="Arial"/>
                <w:bCs/>
                <w:color w:val="000000" w:themeColor="text1"/>
                <w:sz w:val="20"/>
                <w:szCs w:val="20"/>
              </w:rPr>
            </w:pPr>
            <w:r>
              <w:rPr>
                <w:rFonts w:ascii="Aptos" w:hAnsi="Aptos" w:cs="Arial"/>
                <w:bCs/>
                <w:color w:val="000000" w:themeColor="text1"/>
                <w:sz w:val="20"/>
                <w:szCs w:val="20"/>
              </w:rPr>
              <w:t xml:space="preserve">Samin </w:t>
            </w:r>
          </w:p>
        </w:tc>
        <w:tc>
          <w:tcPr>
            <w:tcW w:w="1418" w:type="dxa"/>
            <w:vAlign w:val="center"/>
          </w:tcPr>
          <w:p w14:paraId="5E41446B" w14:textId="33DFA112" w:rsidR="004E4CE4" w:rsidRPr="00CD2C82" w:rsidRDefault="0027148A" w:rsidP="004E4CE4">
            <w:pPr>
              <w:rPr>
                <w:rFonts w:ascii="Aptos" w:hAnsi="Aptos" w:cs="Arial"/>
                <w:bCs/>
                <w:color w:val="000000" w:themeColor="text1"/>
                <w:sz w:val="20"/>
                <w:szCs w:val="20"/>
              </w:rPr>
            </w:pPr>
            <w:r>
              <w:rPr>
                <w:rFonts w:ascii="Aptos" w:hAnsi="Aptos" w:cs="Arial"/>
                <w:bCs/>
                <w:color w:val="000000" w:themeColor="text1"/>
                <w:sz w:val="20"/>
                <w:szCs w:val="20"/>
              </w:rPr>
              <w:t>Zamani</w:t>
            </w:r>
          </w:p>
        </w:tc>
        <w:tc>
          <w:tcPr>
            <w:tcW w:w="2229" w:type="dxa"/>
          </w:tcPr>
          <w:p w14:paraId="3EC4C5A6" w14:textId="117BDB39" w:rsidR="004E4CE4" w:rsidRPr="00CD2C82" w:rsidRDefault="004E4CE4" w:rsidP="004E4CE4">
            <w:pPr>
              <w:rPr>
                <w:rFonts w:ascii="Aptos" w:hAnsi="Aptos" w:cs="Arial"/>
                <w:bCs/>
                <w:color w:val="000000" w:themeColor="text1"/>
                <w:sz w:val="20"/>
                <w:szCs w:val="20"/>
              </w:rPr>
            </w:pPr>
            <w:r w:rsidRPr="004E4CE4">
              <w:rPr>
                <w:rFonts w:ascii="Aptos" w:hAnsi="Aptos" w:cs="Arial"/>
                <w:bCs/>
                <w:color w:val="000000" w:themeColor="text1"/>
                <w:sz w:val="20"/>
                <w:szCs w:val="20"/>
              </w:rPr>
              <w:t>Laboratory Sciences Research Center, Golestan University of Medical Sciences, Gorgan,Iran</w:t>
            </w:r>
          </w:p>
        </w:tc>
        <w:tc>
          <w:tcPr>
            <w:tcW w:w="2880" w:type="dxa"/>
            <w:vAlign w:val="center"/>
          </w:tcPr>
          <w:p w14:paraId="1DDF5257" w14:textId="62206EAB" w:rsidR="004E4CE4" w:rsidRPr="00CD2C82" w:rsidRDefault="00BC1C12" w:rsidP="004E4CE4">
            <w:pPr>
              <w:rPr>
                <w:rFonts w:ascii="Aptos" w:hAnsi="Aptos" w:cs="Arial"/>
                <w:bCs/>
                <w:color w:val="000000" w:themeColor="text1"/>
                <w:sz w:val="20"/>
                <w:szCs w:val="20"/>
              </w:rPr>
            </w:pPr>
            <w:r w:rsidRPr="00BC1C12">
              <w:rPr>
                <w:rFonts w:ascii="Aptos" w:hAnsi="Aptos" w:cs="Arial"/>
                <w:bCs/>
                <w:color w:val="000000" w:themeColor="text1"/>
                <w:sz w:val="20"/>
                <w:szCs w:val="20"/>
              </w:rPr>
              <w:t>samin.zamanii@gmail.com</w:t>
            </w:r>
          </w:p>
        </w:tc>
        <w:tc>
          <w:tcPr>
            <w:tcW w:w="1260" w:type="dxa"/>
            <w:vAlign w:val="center"/>
          </w:tcPr>
          <w:p w14:paraId="398397DC" w14:textId="63F54794" w:rsidR="004E4CE4" w:rsidRPr="00CD2C82" w:rsidRDefault="004E4CE4" w:rsidP="004E4CE4">
            <w:pPr>
              <w:jc w:val="center"/>
              <w:rPr>
                <w:rFonts w:ascii="Aptos" w:hAnsi="Aptos" w:cs="Arial"/>
                <w:bCs/>
                <w:color w:val="000000" w:themeColor="text1"/>
                <w:sz w:val="20"/>
                <w:szCs w:val="20"/>
              </w:rPr>
            </w:pPr>
          </w:p>
        </w:tc>
      </w:tr>
      <w:tr w:rsidR="002D4340" w14:paraId="1EC2C947" w14:textId="08659965" w:rsidTr="00BC1C12">
        <w:tc>
          <w:tcPr>
            <w:tcW w:w="1838" w:type="dxa"/>
            <w:vAlign w:val="center"/>
          </w:tcPr>
          <w:p w14:paraId="48A3936E" w14:textId="0FECD2C4" w:rsidR="002D4340" w:rsidRPr="00CD2C82" w:rsidRDefault="004126EE" w:rsidP="00E863D4">
            <w:pPr>
              <w:rPr>
                <w:rFonts w:ascii="Aptos" w:hAnsi="Aptos" w:cs="Arial"/>
                <w:bCs/>
                <w:color w:val="000000" w:themeColor="text1"/>
                <w:sz w:val="20"/>
                <w:szCs w:val="20"/>
                <w:rtl/>
                <w:lang w:bidi="fa-IR"/>
              </w:rPr>
            </w:pPr>
            <w:r>
              <w:rPr>
                <w:rFonts w:ascii="Aptos" w:hAnsi="Aptos" w:cs="Arial"/>
                <w:bCs/>
                <w:color w:val="000000" w:themeColor="text1"/>
                <w:sz w:val="20"/>
                <w:szCs w:val="20"/>
              </w:rPr>
              <w:t xml:space="preserve">Farhad </w:t>
            </w:r>
          </w:p>
        </w:tc>
        <w:tc>
          <w:tcPr>
            <w:tcW w:w="1418" w:type="dxa"/>
            <w:vAlign w:val="center"/>
          </w:tcPr>
          <w:p w14:paraId="2BEC470C" w14:textId="486FECDD" w:rsidR="002D4340" w:rsidRPr="00CD2C82" w:rsidRDefault="0027148A" w:rsidP="00E863D4">
            <w:pPr>
              <w:rPr>
                <w:rFonts w:ascii="Aptos" w:hAnsi="Aptos" w:cs="Arial"/>
                <w:bCs/>
                <w:color w:val="000000" w:themeColor="text1"/>
                <w:sz w:val="20"/>
                <w:szCs w:val="20"/>
              </w:rPr>
            </w:pPr>
            <w:r>
              <w:rPr>
                <w:rFonts w:ascii="Aptos" w:hAnsi="Aptos" w:cs="Arial"/>
                <w:bCs/>
                <w:color w:val="000000" w:themeColor="text1"/>
                <w:sz w:val="20"/>
                <w:szCs w:val="20"/>
              </w:rPr>
              <w:t>Nikkhahi</w:t>
            </w:r>
          </w:p>
        </w:tc>
        <w:tc>
          <w:tcPr>
            <w:tcW w:w="2229" w:type="dxa"/>
            <w:vAlign w:val="center"/>
          </w:tcPr>
          <w:p w14:paraId="465BAECA" w14:textId="58D31584" w:rsidR="002D4340" w:rsidRPr="00CD2C82" w:rsidRDefault="004E4CE4" w:rsidP="00E863D4">
            <w:pPr>
              <w:rPr>
                <w:rFonts w:ascii="Aptos" w:hAnsi="Aptos" w:cs="Arial"/>
                <w:bCs/>
                <w:color w:val="000000" w:themeColor="text1"/>
                <w:sz w:val="20"/>
                <w:szCs w:val="20"/>
              </w:rPr>
            </w:pPr>
            <w:r w:rsidRPr="004E4CE4">
              <w:rPr>
                <w:rFonts w:ascii="Aptos" w:hAnsi="Aptos" w:cs="Arial"/>
                <w:bCs/>
                <w:color w:val="000000" w:themeColor="text1"/>
                <w:sz w:val="20"/>
                <w:szCs w:val="20"/>
              </w:rPr>
              <w:t>Medical Microbiology Research Center, Qazvin University of Medical Sciences, Qazvin, Iran</w:t>
            </w:r>
          </w:p>
        </w:tc>
        <w:tc>
          <w:tcPr>
            <w:tcW w:w="2880" w:type="dxa"/>
            <w:vAlign w:val="center"/>
          </w:tcPr>
          <w:p w14:paraId="464D4E54" w14:textId="1B78A1C9" w:rsidR="002D4340" w:rsidRPr="00CD2C82" w:rsidRDefault="00BC1C12" w:rsidP="00E863D4">
            <w:pPr>
              <w:rPr>
                <w:rFonts w:ascii="Aptos" w:hAnsi="Aptos" w:cs="Arial"/>
                <w:bCs/>
                <w:color w:val="000000" w:themeColor="text1"/>
                <w:sz w:val="20"/>
                <w:szCs w:val="20"/>
              </w:rPr>
            </w:pPr>
            <w:r w:rsidRPr="00BC1C12">
              <w:rPr>
                <w:rFonts w:ascii="Aptos" w:hAnsi="Aptos" w:cs="Arial"/>
                <w:bCs/>
                <w:color w:val="000000" w:themeColor="text1"/>
                <w:sz w:val="20"/>
                <w:szCs w:val="20"/>
              </w:rPr>
              <w:t>farhadnikkhahi@gmail.com</w:t>
            </w:r>
          </w:p>
        </w:tc>
        <w:tc>
          <w:tcPr>
            <w:tcW w:w="1260"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5D4386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6117FFC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F9280E2" w:rsidR="00D062BE" w:rsidRDefault="00FD58E0" w:rsidP="000A7027">
            <w:pPr>
              <w:rPr>
                <w:rFonts w:ascii="Aptos" w:eastAsia="Times" w:hAnsi="Aptos" w:cs="Arial"/>
                <w:b/>
                <w:color w:val="000000"/>
                <w:sz w:val="20"/>
                <w:szCs w:val="20"/>
                <w:lang w:eastAsia="en-GB"/>
              </w:rPr>
            </w:pPr>
            <w:r w:rsidRPr="00FD58E0">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2535A0C"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A491EF1"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4EA106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A63ABA4"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351A9E">
              <w:rPr>
                <w:rFonts w:ascii="Aptos" w:hAnsi="Aptos" w:cs="Arial"/>
                <w:bCs/>
                <w:sz w:val="20"/>
                <w:szCs w:val="20"/>
              </w:rPr>
              <w:t>24/08/2026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6F6A3AF5"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77A12018"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EFB6F94"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A79C0CD"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432FBB69" w:rsidR="00953FFE" w:rsidRPr="00D03CC9" w:rsidRDefault="00953FFE" w:rsidP="00D03CC9">
      <w:pPr>
        <w:rPr>
          <w:rFonts w:ascii="Aptos" w:hAnsi="Aptos"/>
          <w:sz w:val="20"/>
          <w:szCs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9B1E68">
      <w:pPr>
        <w:pStyle w:val="BodyTextIndent"/>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0F073E26"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E6198F0" w:rsidR="00953FFE" w:rsidRDefault="0051505E" w:rsidP="00DD58AA">
            <w:pPr>
              <w:rPr>
                <w:rFonts w:ascii="Aptos" w:eastAsia="Times" w:hAnsi="Aptos" w:cs="Arial"/>
                <w:b/>
                <w:color w:val="000000"/>
                <w:sz w:val="20"/>
                <w:szCs w:val="20"/>
                <w:lang w:eastAsia="en-GB"/>
              </w:rPr>
            </w:pPr>
            <w:r w:rsidRPr="0051505E">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06BC084C"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1E77CD57" w:rsidR="00333392" w:rsidRPr="0051505E" w:rsidRDefault="004611FA" w:rsidP="00040CB0">
            <w:pPr>
              <w:jc w:val="both"/>
              <w:rPr>
                <w:rFonts w:ascii="Aptos" w:hAnsi="Aptos" w:cs="Arial"/>
                <w:bCs/>
                <w:i/>
                <w:iCs/>
                <w:color w:val="000000" w:themeColor="text1"/>
                <w:sz w:val="20"/>
                <w:szCs w:val="20"/>
              </w:rPr>
            </w:pPr>
            <w:r w:rsidRPr="004611FA">
              <w:rPr>
                <w:rFonts w:ascii="Aptos" w:hAnsi="Aptos" w:cs="Arial"/>
                <w:bCs/>
                <w:i/>
                <w:iCs/>
                <w:color w:val="000000" w:themeColor="text1"/>
                <w:sz w:val="20"/>
                <w:szCs w:val="20"/>
              </w:rPr>
              <w:t>Hyrcaniavirus</w:t>
            </w:r>
          </w:p>
        </w:tc>
        <w:tc>
          <w:tcPr>
            <w:tcW w:w="6379" w:type="dxa"/>
            <w:vAlign w:val="center"/>
          </w:tcPr>
          <w:p w14:paraId="17202B3B" w14:textId="1E62B189" w:rsidR="00333392" w:rsidRPr="00EB762F" w:rsidRDefault="00D77D56" w:rsidP="00040CB0">
            <w:pPr>
              <w:jc w:val="both"/>
              <w:rPr>
                <w:rFonts w:ascii="Aptos" w:hAnsi="Aptos" w:cs="Arial"/>
                <w:bCs/>
                <w:color w:val="000000" w:themeColor="text1"/>
                <w:sz w:val="20"/>
                <w:szCs w:val="20"/>
                <w:rtl/>
                <w:lang w:bidi="fa-IR"/>
              </w:rPr>
            </w:pPr>
            <w:r w:rsidRPr="00D77D56">
              <w:rPr>
                <w:rFonts w:ascii="Aptos" w:hAnsi="Aptos" w:cs="Arial"/>
                <w:bCs/>
                <w:color w:val="000000" w:themeColor="text1"/>
                <w:sz w:val="20"/>
                <w:szCs w:val="20"/>
                <w:lang w:bidi="fa-IR"/>
              </w:rPr>
              <w:t>The name of the virus is derived from Hyrcanian, the Greek word for the historical name of present-day Gorgan, Golestan Province, Iran, where the sample virus was isolated.</w:t>
            </w:r>
          </w:p>
        </w:tc>
      </w:tr>
      <w:tr w:rsidR="00333392" w:rsidRPr="009F7856" w14:paraId="7AAF5EF0" w14:textId="77777777" w:rsidTr="00040CB0">
        <w:trPr>
          <w:trHeight w:val="71"/>
        </w:trPr>
        <w:tc>
          <w:tcPr>
            <w:tcW w:w="2547" w:type="dxa"/>
            <w:vAlign w:val="center"/>
          </w:tcPr>
          <w:p w14:paraId="24B2DC76" w14:textId="6728597A" w:rsidR="00333392" w:rsidRPr="005E4945" w:rsidRDefault="00932A07" w:rsidP="00040CB0">
            <w:pPr>
              <w:jc w:val="both"/>
              <w:rPr>
                <w:rFonts w:ascii="Aptos" w:hAnsi="Aptos" w:cs="Arial"/>
                <w:bCs/>
                <w:i/>
                <w:iCs/>
                <w:color w:val="000000" w:themeColor="text1"/>
                <w:sz w:val="20"/>
                <w:szCs w:val="20"/>
              </w:rPr>
            </w:pPr>
            <w:r w:rsidRPr="005E4945">
              <w:rPr>
                <w:rFonts w:ascii="Aptos" w:hAnsi="Aptos" w:cs="Arial"/>
                <w:bCs/>
                <w:i/>
                <w:iCs/>
                <w:color w:val="000000" w:themeColor="text1"/>
                <w:sz w:val="20"/>
                <w:szCs w:val="20"/>
              </w:rPr>
              <w:t>gorganense</w:t>
            </w:r>
          </w:p>
        </w:tc>
        <w:tc>
          <w:tcPr>
            <w:tcW w:w="6379" w:type="dxa"/>
            <w:vAlign w:val="center"/>
          </w:tcPr>
          <w:p w14:paraId="7CC05CA7" w14:textId="69F81E1B" w:rsidR="00333392" w:rsidRPr="00932A07" w:rsidRDefault="00932A07" w:rsidP="00040CB0">
            <w:pPr>
              <w:jc w:val="both"/>
              <w:rPr>
                <w:rFonts w:ascii="Aptos" w:hAnsi="Aptos" w:cs="Arial"/>
                <w:bCs/>
                <w:color w:val="000000" w:themeColor="text1"/>
                <w:sz w:val="20"/>
                <w:szCs w:val="20"/>
              </w:rPr>
            </w:pPr>
            <w:r w:rsidRPr="00932A07">
              <w:rPr>
                <w:rFonts w:ascii="Aptos" w:hAnsi="Aptos" w:cs="Arial"/>
                <w:bCs/>
                <w:color w:val="000000" w:themeColor="text1"/>
                <w:sz w:val="20"/>
                <w:szCs w:val="20"/>
              </w:rPr>
              <w:t>The suggested species name "</w:t>
            </w:r>
            <w:r w:rsidRPr="00932A07">
              <w:rPr>
                <w:rFonts w:ascii="Aptos" w:hAnsi="Aptos" w:cs="Arial"/>
                <w:bCs/>
                <w:i/>
                <w:iCs/>
                <w:color w:val="000000" w:themeColor="text1"/>
                <w:sz w:val="20"/>
                <w:szCs w:val="20"/>
              </w:rPr>
              <w:t>gorganense</w:t>
            </w:r>
            <w:r w:rsidRPr="00932A07">
              <w:rPr>
                <w:rFonts w:ascii="Aptos" w:hAnsi="Aptos" w:cs="Arial"/>
                <w:bCs/>
                <w:color w:val="000000" w:themeColor="text1"/>
                <w:sz w:val="20"/>
                <w:szCs w:val="20"/>
              </w:rPr>
              <w:t>" is derived from Gorgan, the city in Golestan Province, Iran, where the exemplar virus was isolated.</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2B26619D"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A7B9A20"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17EEC926"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50D3D1F"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3EA76616"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5235972D" w:rsidR="00A77B8E" w:rsidRDefault="00A77B8E" w:rsidP="00F14CF6">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36145B" w:rsidRDefault="00A77B8E" w:rsidP="00DD58AA">
            <w:pPr>
              <w:rPr>
                <w:rFonts w:ascii="Aptos" w:hAnsi="Aptos" w:cs="Arial"/>
                <w:b/>
                <w:bCs/>
                <w:sz w:val="22"/>
                <w:szCs w:val="22"/>
              </w:rPr>
            </w:pPr>
            <w:r w:rsidRPr="0036145B">
              <w:rPr>
                <w:rFonts w:ascii="Aptos" w:hAnsi="Aptos" w:cs="Arial"/>
                <w:b/>
                <w:bCs/>
                <w:i/>
                <w:sz w:val="22"/>
                <w:szCs w:val="22"/>
              </w:rPr>
              <w:t>Description of current taxonomy</w:t>
            </w:r>
            <w:r w:rsidRPr="0036145B">
              <w:rPr>
                <w:rFonts w:ascii="Aptos" w:hAnsi="Aptos" w:cs="Arial"/>
                <w:b/>
                <w:bCs/>
                <w:sz w:val="22"/>
                <w:szCs w:val="22"/>
              </w:rPr>
              <w:t xml:space="preserve">:       </w:t>
            </w:r>
          </w:p>
          <w:p w14:paraId="1321FC18" w14:textId="2501B65B" w:rsidR="00A77B8E" w:rsidRDefault="002C6621" w:rsidP="002C6621">
            <w:pPr>
              <w:jc w:val="both"/>
              <w:rPr>
                <w:rFonts w:ascii="Aptos" w:hAnsi="Aptos" w:cs="Arial"/>
                <w:sz w:val="20"/>
                <w:szCs w:val="20"/>
                <w:rtl/>
              </w:rPr>
            </w:pPr>
            <w:r w:rsidRPr="002C6621">
              <w:rPr>
                <w:rFonts w:ascii="Aptos" w:hAnsi="Aptos" w:cs="Arial"/>
                <w:sz w:val="20"/>
                <w:szCs w:val="20"/>
              </w:rPr>
              <w:t xml:space="preserve">The </w:t>
            </w:r>
            <w:r w:rsidR="00654622">
              <w:rPr>
                <w:rFonts w:ascii="Aptos" w:hAnsi="Aptos" w:cs="Arial"/>
                <w:sz w:val="20"/>
                <w:szCs w:val="20"/>
              </w:rPr>
              <w:t xml:space="preserve">family </w:t>
            </w:r>
            <w:r w:rsidRPr="00654622">
              <w:rPr>
                <w:rFonts w:ascii="Aptos" w:hAnsi="Aptos" w:cs="Arial"/>
                <w:i/>
                <w:iCs/>
                <w:sz w:val="20"/>
                <w:szCs w:val="20"/>
              </w:rPr>
              <w:t>Hirszfeldviridae</w:t>
            </w:r>
            <w:r w:rsidRPr="002C6621">
              <w:rPr>
                <w:rFonts w:ascii="Aptos" w:hAnsi="Aptos" w:cs="Arial"/>
                <w:sz w:val="20"/>
                <w:szCs w:val="20"/>
              </w:rPr>
              <w:t xml:space="preserve"> consists of tailed double-stranded DNA bacteriophages classified under </w:t>
            </w:r>
            <w:r w:rsidR="00654622">
              <w:rPr>
                <w:rFonts w:ascii="Aptos" w:hAnsi="Aptos" w:cs="Arial"/>
                <w:sz w:val="20"/>
                <w:szCs w:val="20"/>
              </w:rPr>
              <w:t xml:space="preserve">the class </w:t>
            </w:r>
            <w:r w:rsidRPr="00654622">
              <w:rPr>
                <w:rFonts w:ascii="Aptos" w:hAnsi="Aptos" w:cs="Arial"/>
                <w:i/>
                <w:iCs/>
                <w:sz w:val="20"/>
                <w:szCs w:val="20"/>
              </w:rPr>
              <w:t>Caudoviricetes</w:t>
            </w:r>
            <w:r w:rsidRPr="002C6621">
              <w:rPr>
                <w:rFonts w:ascii="Aptos" w:hAnsi="Aptos" w:cs="Arial"/>
                <w:sz w:val="20"/>
                <w:szCs w:val="20"/>
              </w:rPr>
              <w:t xml:space="preserve">, which target bacteria belonging to the genus </w:t>
            </w:r>
            <w:r w:rsidRPr="00101EDB">
              <w:rPr>
                <w:rFonts w:ascii="Aptos" w:hAnsi="Aptos" w:cs="Arial"/>
                <w:i/>
                <w:iCs/>
                <w:sz w:val="20"/>
                <w:szCs w:val="20"/>
              </w:rPr>
              <w:t>Acinetobacter</w:t>
            </w:r>
            <w:r w:rsidRPr="002C6621">
              <w:rPr>
                <w:rFonts w:ascii="Aptos" w:hAnsi="Aptos" w:cs="Arial"/>
                <w:sz w:val="20"/>
                <w:szCs w:val="20"/>
              </w:rPr>
              <w:t>.</w:t>
            </w:r>
            <w:r w:rsidR="00DE566F">
              <w:rPr>
                <w:rFonts w:ascii="Aptos" w:hAnsi="Aptos" w:cs="Arial"/>
                <w:sz w:val="20"/>
                <w:szCs w:val="20"/>
              </w:rPr>
              <w:t xml:space="preserve"> This family includes </w:t>
            </w:r>
            <w:r w:rsidR="00536AA9">
              <w:rPr>
                <w:rFonts w:ascii="Aptos" w:hAnsi="Aptos" w:cs="Arial"/>
                <w:sz w:val="20"/>
                <w:szCs w:val="20"/>
              </w:rPr>
              <w:t>22</w:t>
            </w:r>
            <w:r w:rsidR="00DE566F">
              <w:rPr>
                <w:rFonts w:ascii="Aptos" w:hAnsi="Aptos" w:cs="Arial"/>
                <w:sz w:val="20"/>
                <w:szCs w:val="20"/>
              </w:rPr>
              <w:t xml:space="preserve"> genera and 49 species</w:t>
            </w:r>
            <w:r w:rsidRPr="002C6621">
              <w:rPr>
                <w:rFonts w:ascii="Aptos" w:hAnsi="Aptos" w:cs="Arial"/>
                <w:sz w:val="20"/>
                <w:szCs w:val="20"/>
              </w:rPr>
              <w:t xml:space="preserve"> </w:t>
            </w:r>
          </w:p>
          <w:p w14:paraId="76DCD836" w14:textId="77777777" w:rsidR="002C6621" w:rsidRPr="00BE4F5A" w:rsidRDefault="002C6621" w:rsidP="002C6621">
            <w:pPr>
              <w:jc w:val="both"/>
              <w:rPr>
                <w:rFonts w:ascii="Aptos" w:hAnsi="Aptos" w:cs="Arial"/>
                <w:sz w:val="20"/>
                <w:szCs w:val="20"/>
              </w:rPr>
            </w:pPr>
          </w:p>
          <w:p w14:paraId="19D0D4AD" w14:textId="77777777" w:rsidR="00A77B8E" w:rsidRPr="0036145B" w:rsidRDefault="00A77B8E" w:rsidP="00DD58AA">
            <w:pPr>
              <w:rPr>
                <w:rFonts w:ascii="Aptos" w:hAnsi="Aptos" w:cs="Arial"/>
                <w:b/>
                <w:bCs/>
                <w:sz w:val="22"/>
                <w:szCs w:val="22"/>
              </w:rPr>
            </w:pPr>
            <w:r w:rsidRPr="0036145B">
              <w:rPr>
                <w:rFonts w:ascii="Aptos" w:hAnsi="Aptos" w:cs="Arial"/>
                <w:b/>
                <w:bCs/>
                <w:i/>
                <w:sz w:val="22"/>
                <w:szCs w:val="22"/>
              </w:rPr>
              <w:t>Proposed</w:t>
            </w:r>
            <w:r w:rsidRPr="0036145B">
              <w:rPr>
                <w:rFonts w:ascii="Aptos" w:hAnsi="Aptos" w:cs="Arial"/>
                <w:b/>
                <w:bCs/>
                <w:sz w:val="22"/>
                <w:szCs w:val="22"/>
              </w:rPr>
              <w:t xml:space="preserve"> </w:t>
            </w:r>
            <w:r w:rsidRPr="0036145B">
              <w:rPr>
                <w:rFonts w:ascii="Aptos" w:hAnsi="Aptos" w:cs="Arial"/>
                <w:b/>
                <w:bCs/>
                <w:i/>
                <w:sz w:val="22"/>
                <w:szCs w:val="22"/>
              </w:rPr>
              <w:t>taxonomic change(s):</w:t>
            </w:r>
            <w:r w:rsidRPr="0036145B">
              <w:rPr>
                <w:rFonts w:ascii="Aptos" w:hAnsi="Aptos" w:cs="Arial"/>
                <w:b/>
                <w:bCs/>
                <w:sz w:val="22"/>
                <w:szCs w:val="22"/>
              </w:rPr>
              <w:t xml:space="preserve">     </w:t>
            </w:r>
          </w:p>
          <w:p w14:paraId="7B7BADE9" w14:textId="11B254B3" w:rsidR="00A77B8E" w:rsidRPr="00BE4F5A" w:rsidRDefault="00253DC6" w:rsidP="00DD58AA">
            <w:pPr>
              <w:rPr>
                <w:rFonts w:ascii="Aptos" w:hAnsi="Aptos" w:cs="Arial"/>
                <w:sz w:val="20"/>
                <w:szCs w:val="20"/>
              </w:rPr>
            </w:pPr>
            <w:r w:rsidRPr="00253DC6">
              <w:rPr>
                <w:rFonts w:ascii="Aptos" w:hAnsi="Aptos" w:cs="Arial"/>
                <w:sz w:val="20"/>
                <w:szCs w:val="20"/>
              </w:rPr>
              <w:t>We recommend the creation of a new genus, "</w:t>
            </w:r>
            <w:r w:rsidR="00D77D56" w:rsidRPr="00D77D56">
              <w:rPr>
                <w:rFonts w:ascii="Aptos" w:hAnsi="Aptos" w:cs="Arial"/>
                <w:i/>
                <w:iCs/>
                <w:sz w:val="20"/>
                <w:szCs w:val="20"/>
              </w:rPr>
              <w:t>Hyrcaniavirus</w:t>
            </w:r>
            <w:r w:rsidRPr="00253DC6">
              <w:rPr>
                <w:rFonts w:ascii="Aptos" w:hAnsi="Aptos" w:cs="Arial"/>
                <w:sz w:val="20"/>
                <w:szCs w:val="20"/>
              </w:rPr>
              <w:t>", within the family Hirszfeldviridae</w:t>
            </w:r>
            <w:r w:rsidR="00374050" w:rsidRPr="00374050">
              <w:rPr>
                <w:rFonts w:ascii="Aptos" w:hAnsi="Aptos" w:cs="Arial"/>
                <w:sz w:val="20"/>
                <w:szCs w:val="20"/>
              </w:rPr>
              <w:t xml:space="preserve">, </w:t>
            </w:r>
            <w:r w:rsidR="00374050">
              <w:rPr>
                <w:rFonts w:ascii="Aptos" w:hAnsi="Aptos" w:cs="Arial"/>
                <w:sz w:val="20"/>
                <w:szCs w:val="20"/>
              </w:rPr>
              <w:t>for</w:t>
            </w:r>
            <w:r w:rsidR="00374050" w:rsidRPr="00374050">
              <w:rPr>
                <w:rFonts w:ascii="Aptos" w:hAnsi="Aptos" w:cs="Arial"/>
                <w:sz w:val="20"/>
                <w:szCs w:val="20"/>
              </w:rPr>
              <w:t xml:space="preserve"> </w:t>
            </w:r>
            <w:r w:rsidR="00374050">
              <w:rPr>
                <w:rFonts w:ascii="Aptos" w:hAnsi="Aptos" w:cs="Arial"/>
                <w:sz w:val="20"/>
                <w:szCs w:val="20"/>
              </w:rPr>
              <w:t>one</w:t>
            </w:r>
            <w:r w:rsidR="00374050" w:rsidRPr="00374050">
              <w:rPr>
                <w:rFonts w:ascii="Aptos" w:hAnsi="Aptos" w:cs="Arial"/>
                <w:sz w:val="20"/>
                <w:szCs w:val="20"/>
              </w:rPr>
              <w:t xml:space="preserve"> new species</w:t>
            </w:r>
          </w:p>
          <w:p w14:paraId="41623645" w14:textId="77777777" w:rsidR="006F33B7" w:rsidRDefault="006F33B7" w:rsidP="00DD58AA">
            <w:pPr>
              <w:rPr>
                <w:rFonts w:ascii="Aptos" w:hAnsi="Aptos" w:cs="Arial"/>
                <w:i/>
                <w:iCs/>
                <w:sz w:val="20"/>
                <w:szCs w:val="20"/>
              </w:rPr>
            </w:pPr>
          </w:p>
          <w:p w14:paraId="53F57983" w14:textId="1B297820" w:rsidR="00FC2269" w:rsidRPr="0036145B" w:rsidRDefault="006F33B7" w:rsidP="00DD58AA">
            <w:pPr>
              <w:rPr>
                <w:rFonts w:ascii="Aptos" w:hAnsi="Aptos" w:cs="Arial"/>
                <w:b/>
                <w:bCs/>
                <w:i/>
                <w:iCs/>
                <w:sz w:val="22"/>
                <w:szCs w:val="22"/>
              </w:rPr>
            </w:pPr>
            <w:r w:rsidRPr="0036145B">
              <w:rPr>
                <w:rFonts w:ascii="Aptos" w:hAnsi="Aptos" w:cs="Arial"/>
                <w:b/>
                <w:bCs/>
                <w:i/>
                <w:iCs/>
                <w:sz w:val="22"/>
                <w:szCs w:val="22"/>
              </w:rPr>
              <w:t xml:space="preserve">Demarcation criteria for new </w:t>
            </w:r>
            <w:r w:rsidR="00E92794" w:rsidRPr="0036145B">
              <w:rPr>
                <w:rFonts w:ascii="Aptos" w:hAnsi="Aptos" w:cs="Arial"/>
                <w:b/>
                <w:bCs/>
                <w:i/>
                <w:iCs/>
                <w:sz w:val="22"/>
                <w:szCs w:val="22"/>
              </w:rPr>
              <w:t>taxon/</w:t>
            </w:r>
            <w:r w:rsidRPr="0036145B">
              <w:rPr>
                <w:rFonts w:ascii="Aptos" w:hAnsi="Aptos" w:cs="Arial"/>
                <w:b/>
                <w:bCs/>
                <w:i/>
                <w:iCs/>
                <w:sz w:val="22"/>
                <w:szCs w:val="22"/>
              </w:rPr>
              <w:t>tax</w:t>
            </w:r>
            <w:r w:rsidR="00E92794" w:rsidRPr="0036145B">
              <w:rPr>
                <w:rFonts w:ascii="Aptos" w:hAnsi="Aptos" w:cs="Arial"/>
                <w:b/>
                <w:bCs/>
                <w:i/>
                <w:iCs/>
                <w:sz w:val="22"/>
                <w:szCs w:val="22"/>
              </w:rPr>
              <w:t>a:</w:t>
            </w:r>
          </w:p>
          <w:p w14:paraId="6712091B" w14:textId="68908FC7" w:rsidR="00192BAE" w:rsidRPr="00192BAE" w:rsidRDefault="0037717F" w:rsidP="00192BAE">
            <w:pPr>
              <w:rPr>
                <w:rFonts w:ascii="Aptos" w:hAnsi="Aptos" w:cs="Arial"/>
                <w:sz w:val="20"/>
                <w:szCs w:val="20"/>
              </w:rPr>
            </w:pPr>
            <w:r w:rsidRPr="00192BAE">
              <w:rPr>
                <w:rFonts w:ascii="Aptos" w:hAnsi="Aptos" w:cs="Arial"/>
                <w:sz w:val="20"/>
                <w:szCs w:val="20"/>
              </w:rPr>
              <w:t>Genus</w:t>
            </w:r>
            <w:r w:rsidR="00192BAE" w:rsidRPr="00192BAE">
              <w:rPr>
                <w:rFonts w:ascii="Aptos" w:hAnsi="Aptos" w:cs="Arial"/>
                <w:sz w:val="20"/>
                <w:szCs w:val="20"/>
              </w:rPr>
              <w:t xml:space="preserve"> demarcation criteria: An intergenomic similarity cut-off of 70%, a combination of average nucleotide identity and alignment fraction, was used to determine genera demarcation. Members of the same genus have &gt;70% intergenomic similarity and cluster tightly in marker gene phylogenies. </w:t>
            </w:r>
          </w:p>
          <w:p w14:paraId="39F42F38" w14:textId="77777777" w:rsidR="00192BAE" w:rsidRPr="00192BAE" w:rsidRDefault="00192BAE" w:rsidP="00192BAE">
            <w:pPr>
              <w:rPr>
                <w:rFonts w:ascii="Aptos" w:hAnsi="Aptos" w:cs="Arial"/>
                <w:sz w:val="20"/>
                <w:szCs w:val="20"/>
              </w:rPr>
            </w:pPr>
          </w:p>
          <w:p w14:paraId="031E69D5" w14:textId="67C44C16" w:rsidR="006F33B7" w:rsidRDefault="00192BAE" w:rsidP="00192BAE">
            <w:pPr>
              <w:pStyle w:val="BodyTextIndent"/>
              <w:ind w:left="0" w:firstLine="0"/>
              <w:rPr>
                <w:rFonts w:ascii="Aptos" w:hAnsi="Aptos" w:cs="Arial"/>
                <w:i/>
                <w:sz w:val="20"/>
              </w:rPr>
            </w:pPr>
            <w:r w:rsidRPr="00192BAE">
              <w:rPr>
                <w:rFonts w:ascii="Aptos" w:hAnsi="Aptos" w:cs="Arial"/>
                <w:sz w:val="20"/>
              </w:rPr>
              <w:t xml:space="preserve">Species demarcation criteria: A demarcation value of 95% intergenomic similarity was used to define different species according to intergenomic similarity. Members of the same genus have &gt;95% intergenomic similarity </w:t>
            </w:r>
          </w:p>
          <w:p w14:paraId="54DFB97F" w14:textId="77777777" w:rsidR="00FF51A5" w:rsidRDefault="00FF51A5" w:rsidP="00DD58AA">
            <w:pPr>
              <w:pStyle w:val="BodyTextIndent"/>
              <w:ind w:left="0" w:firstLine="0"/>
              <w:rPr>
                <w:rFonts w:ascii="Aptos" w:hAnsi="Aptos" w:cs="Arial"/>
                <w:b/>
                <w:bCs/>
                <w:i/>
                <w:sz w:val="22"/>
                <w:szCs w:val="22"/>
              </w:rPr>
            </w:pPr>
          </w:p>
          <w:p w14:paraId="6E5BCB32" w14:textId="0CE8AA73" w:rsidR="00A77B8E" w:rsidRPr="0036145B" w:rsidRDefault="00A77B8E" w:rsidP="00DD58AA">
            <w:pPr>
              <w:pStyle w:val="BodyTextIndent"/>
              <w:ind w:left="0" w:firstLine="0"/>
              <w:rPr>
                <w:rFonts w:ascii="Aptos" w:hAnsi="Aptos" w:cs="Arial"/>
                <w:b/>
                <w:bCs/>
                <w:color w:val="000000"/>
                <w:sz w:val="22"/>
                <w:szCs w:val="22"/>
              </w:rPr>
            </w:pPr>
            <w:r w:rsidRPr="0036145B">
              <w:rPr>
                <w:rFonts w:ascii="Aptos" w:hAnsi="Aptos" w:cs="Arial"/>
                <w:b/>
                <w:bCs/>
                <w:i/>
                <w:sz w:val="22"/>
                <w:szCs w:val="22"/>
              </w:rPr>
              <w:t>Justification</w:t>
            </w:r>
            <w:r w:rsidRPr="0036145B">
              <w:rPr>
                <w:rFonts w:ascii="Aptos" w:hAnsi="Aptos" w:cs="Arial"/>
                <w:b/>
                <w:bCs/>
                <w:sz w:val="22"/>
                <w:szCs w:val="22"/>
              </w:rPr>
              <w:t>:</w:t>
            </w:r>
          </w:p>
          <w:p w14:paraId="72381842" w14:textId="497D732E" w:rsidR="00FF51A5" w:rsidRDefault="00192BAE" w:rsidP="00FF51A5">
            <w:pPr>
              <w:jc w:val="both"/>
              <w:rPr>
                <w:rFonts w:ascii="Aptos" w:hAnsi="Aptos" w:cs="Arial"/>
                <w:sz w:val="20"/>
                <w:szCs w:val="20"/>
                <w:rtl/>
              </w:rPr>
            </w:pPr>
            <w:r w:rsidRPr="00192BAE">
              <w:rPr>
                <w:rFonts w:ascii="Aptos" w:hAnsi="Aptos" w:cs="Arial"/>
                <w:sz w:val="20"/>
                <w:szCs w:val="20"/>
              </w:rPr>
              <w:t>On the basis of VIRIDIC</w:t>
            </w:r>
            <w:r w:rsidR="00D03CC9">
              <w:rPr>
                <w:rFonts w:ascii="Aptos" w:hAnsi="Aptos" w:cs="Arial"/>
                <w:sz w:val="20"/>
                <w:szCs w:val="20"/>
              </w:rPr>
              <w:t xml:space="preserve">, </w:t>
            </w:r>
            <w:r w:rsidRPr="00192BAE">
              <w:rPr>
                <w:rFonts w:ascii="Aptos" w:hAnsi="Aptos" w:cs="Arial"/>
                <w:sz w:val="20"/>
                <w:szCs w:val="20"/>
              </w:rPr>
              <w:t>ViPTree</w:t>
            </w:r>
            <w:r w:rsidR="00D03CC9">
              <w:rPr>
                <w:rFonts w:ascii="Aptos" w:hAnsi="Aptos" w:cs="Arial"/>
                <w:sz w:val="20"/>
                <w:szCs w:val="20"/>
              </w:rPr>
              <w:t xml:space="preserve">, </w:t>
            </w:r>
            <w:r w:rsidR="00D03CC9" w:rsidRPr="00192BAE">
              <w:rPr>
                <w:rFonts w:ascii="Aptos" w:hAnsi="Aptos" w:cs="Arial"/>
                <w:sz w:val="20"/>
                <w:szCs w:val="20"/>
              </w:rPr>
              <w:t>and</w:t>
            </w:r>
            <w:r w:rsidR="00D03CC9">
              <w:rPr>
                <w:rFonts w:ascii="Aptos" w:hAnsi="Aptos" w:cs="Arial"/>
                <w:sz w:val="20"/>
                <w:szCs w:val="20"/>
              </w:rPr>
              <w:t xml:space="preserve"> </w:t>
            </w:r>
            <w:r w:rsidR="00CF0212">
              <w:rPr>
                <w:rFonts w:ascii="Aptos" w:hAnsi="Aptos" w:cs="Arial"/>
                <w:sz w:val="20"/>
                <w:szCs w:val="20"/>
              </w:rPr>
              <w:t>C</w:t>
            </w:r>
            <w:r w:rsidR="00D03CC9">
              <w:rPr>
                <w:rFonts w:ascii="Aptos" w:hAnsi="Aptos" w:cs="Arial"/>
                <w:sz w:val="20"/>
                <w:szCs w:val="20"/>
              </w:rPr>
              <w:t>linker</w:t>
            </w:r>
            <w:r w:rsidR="00D03CC9" w:rsidRPr="00192BAE">
              <w:rPr>
                <w:rFonts w:ascii="Aptos" w:hAnsi="Aptos" w:cs="Arial"/>
                <w:sz w:val="20"/>
                <w:szCs w:val="20"/>
              </w:rPr>
              <w:t xml:space="preserve"> </w:t>
            </w:r>
            <w:r w:rsidRPr="00192BAE">
              <w:rPr>
                <w:rFonts w:ascii="Aptos" w:hAnsi="Aptos" w:cs="Arial"/>
                <w:sz w:val="20"/>
                <w:szCs w:val="20"/>
              </w:rPr>
              <w:t>analysis and in keeping with the demarcation criteria described above</w:t>
            </w:r>
            <w:r>
              <w:rPr>
                <w:rFonts w:ascii="Aptos" w:hAnsi="Aptos" w:cs="Arial"/>
                <w:sz w:val="20"/>
                <w:szCs w:val="20"/>
              </w:rPr>
              <w:t xml:space="preserve">, </w:t>
            </w:r>
            <w:r w:rsidRPr="00485696">
              <w:rPr>
                <w:rFonts w:ascii="Aptos" w:hAnsi="Aptos" w:cs="Arial"/>
                <w:sz w:val="20"/>
                <w:szCs w:val="20"/>
              </w:rPr>
              <w:t>we</w:t>
            </w:r>
            <w:r w:rsidR="00485696" w:rsidRPr="00485696">
              <w:rPr>
                <w:rFonts w:ascii="Aptos" w:hAnsi="Aptos" w:cs="Arial"/>
                <w:sz w:val="20"/>
                <w:szCs w:val="20"/>
              </w:rPr>
              <w:t xml:space="preserve"> </w:t>
            </w:r>
            <w:r w:rsidR="00452909">
              <w:rPr>
                <w:rFonts w:ascii="Aptos" w:hAnsi="Aptos" w:cs="Arial"/>
                <w:sz w:val="20"/>
                <w:szCs w:val="20"/>
              </w:rPr>
              <w:t>propose the creation of</w:t>
            </w:r>
            <w:r w:rsidR="00485696" w:rsidRPr="00485696">
              <w:rPr>
                <w:rFonts w:ascii="Aptos" w:hAnsi="Aptos" w:cs="Arial"/>
                <w:sz w:val="20"/>
                <w:szCs w:val="20"/>
              </w:rPr>
              <w:t xml:space="preserve"> a new genus, </w:t>
            </w:r>
            <w:r w:rsidR="00452909">
              <w:rPr>
                <w:rFonts w:ascii="Aptos" w:hAnsi="Aptos" w:cs="Arial"/>
                <w:sz w:val="20"/>
                <w:szCs w:val="20"/>
              </w:rPr>
              <w:t>“</w:t>
            </w:r>
            <w:r w:rsidR="00D77D56" w:rsidRPr="00D77D56">
              <w:rPr>
                <w:rFonts w:ascii="Aptos" w:hAnsi="Aptos" w:cs="Arial"/>
                <w:i/>
                <w:iCs/>
                <w:sz w:val="20"/>
                <w:szCs w:val="20"/>
              </w:rPr>
              <w:t>Hyrcaniavirus</w:t>
            </w:r>
            <w:r w:rsidR="00452909">
              <w:rPr>
                <w:rFonts w:ascii="Aptos" w:hAnsi="Aptos" w:cs="Arial"/>
                <w:i/>
                <w:iCs/>
                <w:sz w:val="20"/>
                <w:szCs w:val="20"/>
              </w:rPr>
              <w:t>”</w:t>
            </w:r>
            <w:r w:rsidR="00485696" w:rsidRPr="00485696">
              <w:rPr>
                <w:rFonts w:ascii="Aptos" w:hAnsi="Aptos" w:cs="Arial"/>
                <w:sz w:val="20"/>
                <w:szCs w:val="20"/>
              </w:rPr>
              <w:t xml:space="preserve">, in the family </w:t>
            </w:r>
            <w:r w:rsidR="00485696" w:rsidRPr="00452909">
              <w:rPr>
                <w:rFonts w:ascii="Aptos" w:hAnsi="Aptos" w:cs="Arial"/>
                <w:i/>
                <w:iCs/>
                <w:sz w:val="20"/>
                <w:szCs w:val="20"/>
              </w:rPr>
              <w:t>Hirszfeldviridae</w:t>
            </w:r>
            <w:r w:rsidR="00485696" w:rsidRPr="00485696">
              <w:rPr>
                <w:rFonts w:ascii="Aptos" w:hAnsi="Aptos" w:cs="Arial"/>
                <w:sz w:val="20"/>
                <w:szCs w:val="20"/>
              </w:rPr>
              <w:t xml:space="preserve"> for the new phage </w:t>
            </w:r>
            <w:r w:rsidR="00485696" w:rsidRPr="00CF0212">
              <w:rPr>
                <w:rFonts w:ascii="Aptos" w:hAnsi="Aptos" w:cs="Arial"/>
                <w:sz w:val="20"/>
                <w:szCs w:val="20"/>
              </w:rPr>
              <w:t xml:space="preserve">species </w:t>
            </w:r>
            <w:r w:rsidR="00452909">
              <w:rPr>
                <w:rFonts w:ascii="Aptos" w:hAnsi="Aptos" w:cs="Arial"/>
                <w:sz w:val="20"/>
                <w:szCs w:val="20"/>
              </w:rPr>
              <w:t>“</w:t>
            </w:r>
            <w:r w:rsidR="00D77D56" w:rsidRPr="00D77D56">
              <w:rPr>
                <w:rFonts w:ascii="Aptos" w:hAnsi="Aptos" w:cs="Arial"/>
                <w:i/>
                <w:iCs/>
                <w:sz w:val="20"/>
                <w:szCs w:val="20"/>
              </w:rPr>
              <w:t>Hyrcaniavirus</w:t>
            </w:r>
            <w:r w:rsidR="00EF44DF" w:rsidRPr="00EF44DF">
              <w:rPr>
                <w:rFonts w:ascii="Aptos" w:hAnsi="Aptos" w:cs="Arial"/>
                <w:i/>
                <w:iCs/>
                <w:sz w:val="20"/>
                <w:szCs w:val="20"/>
              </w:rPr>
              <w:t xml:space="preserve"> gorganense</w:t>
            </w:r>
            <w:r w:rsidR="00452909">
              <w:rPr>
                <w:rFonts w:ascii="Aptos" w:hAnsi="Aptos" w:cs="Arial"/>
                <w:i/>
                <w:iCs/>
                <w:sz w:val="20"/>
                <w:szCs w:val="20"/>
              </w:rPr>
              <w:t>”</w:t>
            </w:r>
            <w:r w:rsidR="00452909">
              <w:rPr>
                <w:rFonts w:ascii="Aptos" w:hAnsi="Aptos" w:cs="Arial"/>
                <w:sz w:val="20"/>
                <w:szCs w:val="20"/>
              </w:rPr>
              <w:t>.</w:t>
            </w:r>
            <w:r w:rsidR="00FF51A5">
              <w:rPr>
                <w:rFonts w:ascii="Aptos" w:hAnsi="Aptos" w:cs="Arial"/>
                <w:sz w:val="20"/>
                <w:szCs w:val="20"/>
              </w:rPr>
              <w:t xml:space="preserve"> The spe</w:t>
            </w:r>
            <w:r w:rsidR="00FF51A5" w:rsidRPr="003B3E3F">
              <w:rPr>
                <w:rFonts w:ascii="Aptos" w:hAnsi="Aptos" w:cs="Arial"/>
                <w:sz w:val="20"/>
                <w:szCs w:val="20"/>
              </w:rPr>
              <w:t xml:space="preserve">cies </w:t>
            </w:r>
            <w:r w:rsidR="00FF51A5" w:rsidRPr="003B3E3F">
              <w:rPr>
                <w:rFonts w:ascii="Aptos" w:hAnsi="Aptos" w:cs="Arial"/>
                <w:i/>
                <w:iCs/>
                <w:sz w:val="20"/>
                <w:szCs w:val="20"/>
              </w:rPr>
              <w:t>Obolenskvirus</w:t>
            </w:r>
            <w:r w:rsidR="00FF51A5" w:rsidRPr="003B3E3F">
              <w:rPr>
                <w:rFonts w:ascii="Aptos" w:hAnsi="Aptos" w:cs="Arial"/>
                <w:sz w:val="20"/>
                <w:szCs w:val="20"/>
              </w:rPr>
              <w:t xml:space="preserve"> IME285 was identified as the closest currently classified taxon to the exemplar of “</w:t>
            </w:r>
            <w:r w:rsidR="00FF51A5" w:rsidRPr="003B3E3F">
              <w:rPr>
                <w:rFonts w:ascii="Aptos" w:hAnsi="Aptos" w:cs="Arial"/>
                <w:i/>
                <w:iCs/>
                <w:sz w:val="20"/>
                <w:szCs w:val="20"/>
              </w:rPr>
              <w:t>Hyrcaniavirus gorganense”</w:t>
            </w:r>
            <w:r w:rsidR="003B3E3F" w:rsidRPr="003B3E3F">
              <w:rPr>
                <w:rFonts w:ascii="Aptos" w:hAnsi="Aptos" w:cs="Arial"/>
                <w:i/>
                <w:iCs/>
                <w:sz w:val="20"/>
                <w:szCs w:val="20"/>
              </w:rPr>
              <w:t>,</w:t>
            </w:r>
            <w:r w:rsidR="00FF51A5" w:rsidRPr="003B3E3F">
              <w:rPr>
                <w:rFonts w:ascii="Aptos" w:hAnsi="Aptos" w:cs="Arial"/>
                <w:sz w:val="20"/>
                <w:szCs w:val="20"/>
              </w:rPr>
              <w:t xml:space="preserve"> Acinetobacter phage Marjan1.</w:t>
            </w:r>
          </w:p>
          <w:p w14:paraId="18507DF4" w14:textId="6D0788EB" w:rsidR="00FC2269" w:rsidRPr="00452909" w:rsidRDefault="00FC2269" w:rsidP="00DD58AA">
            <w:pPr>
              <w:rPr>
                <w:rFonts w:ascii="Aptos" w:hAnsi="Aptos" w:cs="Arial"/>
                <w:color w:val="0000FF"/>
                <w:sz w:val="20"/>
                <w:szCs w:val="20"/>
                <w:rtl/>
                <w:lang w:bidi="fa-IR"/>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4567911" w:rsidR="00A77B8E" w:rsidRDefault="00A77B8E" w:rsidP="00F14CF6">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6529D435" w14:textId="77777777" w:rsidR="002B61FD" w:rsidRPr="00D768A5" w:rsidRDefault="002B61FD" w:rsidP="00D768A5">
            <w:pPr>
              <w:jc w:val="both"/>
              <w:rPr>
                <w:rFonts w:ascii="Aptos" w:hAnsi="Aptos" w:cs="Arial"/>
                <w:b/>
                <w:bCs/>
                <w:iCs/>
                <w:sz w:val="22"/>
                <w:szCs w:val="22"/>
              </w:rPr>
            </w:pPr>
            <w:r w:rsidRPr="00D768A5">
              <w:rPr>
                <w:rFonts w:ascii="Aptos" w:hAnsi="Aptos" w:cs="Arial"/>
                <w:b/>
                <w:bCs/>
                <w:iCs/>
                <w:sz w:val="22"/>
                <w:szCs w:val="22"/>
              </w:rPr>
              <w:t xml:space="preserve">Description of current taxonomy: </w:t>
            </w:r>
          </w:p>
          <w:p w14:paraId="41ADE4D3" w14:textId="77777777" w:rsidR="003B3E3F" w:rsidRDefault="003B3E3F" w:rsidP="003B3E3F">
            <w:pPr>
              <w:jc w:val="both"/>
              <w:rPr>
                <w:rFonts w:ascii="Aptos" w:hAnsi="Aptos" w:cs="Arial"/>
                <w:sz w:val="20"/>
                <w:szCs w:val="20"/>
                <w:rtl/>
              </w:rPr>
            </w:pPr>
            <w:r w:rsidRPr="002C6621">
              <w:rPr>
                <w:rFonts w:ascii="Aptos" w:hAnsi="Aptos" w:cs="Arial"/>
                <w:sz w:val="20"/>
                <w:szCs w:val="20"/>
              </w:rPr>
              <w:t xml:space="preserve">The </w:t>
            </w:r>
            <w:r>
              <w:rPr>
                <w:rFonts w:ascii="Aptos" w:hAnsi="Aptos" w:cs="Arial"/>
                <w:sz w:val="20"/>
                <w:szCs w:val="20"/>
              </w:rPr>
              <w:t xml:space="preserve">family </w:t>
            </w:r>
            <w:r w:rsidRPr="00654622">
              <w:rPr>
                <w:rFonts w:ascii="Aptos" w:hAnsi="Aptos" w:cs="Arial"/>
                <w:i/>
                <w:iCs/>
                <w:sz w:val="20"/>
                <w:szCs w:val="20"/>
              </w:rPr>
              <w:t>Hirszfeldviridae</w:t>
            </w:r>
            <w:r w:rsidRPr="002C6621">
              <w:rPr>
                <w:rFonts w:ascii="Aptos" w:hAnsi="Aptos" w:cs="Arial"/>
                <w:sz w:val="20"/>
                <w:szCs w:val="20"/>
              </w:rPr>
              <w:t xml:space="preserve"> consists of tailed double-stranded DNA bacteriophages classified under </w:t>
            </w:r>
            <w:r>
              <w:rPr>
                <w:rFonts w:ascii="Aptos" w:hAnsi="Aptos" w:cs="Arial"/>
                <w:sz w:val="20"/>
                <w:szCs w:val="20"/>
              </w:rPr>
              <w:t xml:space="preserve">the class </w:t>
            </w:r>
            <w:r w:rsidRPr="00654622">
              <w:rPr>
                <w:rFonts w:ascii="Aptos" w:hAnsi="Aptos" w:cs="Arial"/>
                <w:i/>
                <w:iCs/>
                <w:sz w:val="20"/>
                <w:szCs w:val="20"/>
              </w:rPr>
              <w:t>Caudoviricetes</w:t>
            </w:r>
            <w:r w:rsidRPr="002C6621">
              <w:rPr>
                <w:rFonts w:ascii="Aptos" w:hAnsi="Aptos" w:cs="Arial"/>
                <w:sz w:val="20"/>
                <w:szCs w:val="20"/>
              </w:rPr>
              <w:t xml:space="preserve">, which target bacteria belonging to the genus </w:t>
            </w:r>
            <w:r w:rsidRPr="00101EDB">
              <w:rPr>
                <w:rFonts w:ascii="Aptos" w:hAnsi="Aptos" w:cs="Arial"/>
                <w:i/>
                <w:iCs/>
                <w:sz w:val="20"/>
                <w:szCs w:val="20"/>
              </w:rPr>
              <w:t>Acinetobacter</w:t>
            </w:r>
            <w:r w:rsidRPr="002C6621">
              <w:rPr>
                <w:rFonts w:ascii="Aptos" w:hAnsi="Aptos" w:cs="Arial"/>
                <w:sz w:val="20"/>
                <w:szCs w:val="20"/>
              </w:rPr>
              <w:t>.</w:t>
            </w:r>
            <w:r>
              <w:rPr>
                <w:rFonts w:ascii="Aptos" w:hAnsi="Aptos" w:cs="Arial"/>
                <w:sz w:val="20"/>
                <w:szCs w:val="20"/>
              </w:rPr>
              <w:t xml:space="preserve"> This family includes 22 genera and 49 species</w:t>
            </w:r>
            <w:r w:rsidRPr="002C6621">
              <w:rPr>
                <w:rFonts w:ascii="Aptos" w:hAnsi="Aptos" w:cs="Arial"/>
                <w:sz w:val="20"/>
                <w:szCs w:val="20"/>
              </w:rPr>
              <w:t xml:space="preserve"> </w:t>
            </w:r>
          </w:p>
          <w:p w14:paraId="0AAF106C" w14:textId="77777777" w:rsidR="00D768A5" w:rsidRPr="00D768A5" w:rsidRDefault="00D768A5" w:rsidP="00D768A5">
            <w:pPr>
              <w:rPr>
                <w:rFonts w:ascii="Aptos" w:hAnsi="Aptos" w:cs="Arial"/>
                <w:i/>
                <w:sz w:val="20"/>
                <w:szCs w:val="20"/>
              </w:rPr>
            </w:pPr>
          </w:p>
          <w:p w14:paraId="06ADB445" w14:textId="77777777" w:rsidR="002B61FD" w:rsidRPr="00D768A5" w:rsidRDefault="002B61FD" w:rsidP="00D768A5">
            <w:pPr>
              <w:rPr>
                <w:rFonts w:ascii="Aptos" w:hAnsi="Aptos" w:cs="Arial"/>
                <w:b/>
                <w:bCs/>
                <w:iCs/>
                <w:sz w:val="22"/>
                <w:szCs w:val="22"/>
              </w:rPr>
            </w:pPr>
            <w:r w:rsidRPr="00D768A5">
              <w:rPr>
                <w:rFonts w:ascii="Aptos" w:hAnsi="Aptos" w:cs="Arial"/>
                <w:b/>
                <w:bCs/>
                <w:iCs/>
                <w:sz w:val="22"/>
                <w:szCs w:val="22"/>
              </w:rPr>
              <w:t xml:space="preserve">Proposed taxonomic change(s): </w:t>
            </w:r>
          </w:p>
          <w:p w14:paraId="50E967F3" w14:textId="01D0F3D1" w:rsidR="002B61FD" w:rsidRPr="00D768A5" w:rsidRDefault="002B61FD" w:rsidP="00D768A5">
            <w:pPr>
              <w:jc w:val="both"/>
              <w:rPr>
                <w:rFonts w:ascii="Aptos" w:hAnsi="Aptos" w:cs="Arial"/>
                <w:iCs/>
                <w:sz w:val="20"/>
                <w:szCs w:val="20"/>
                <w:rtl/>
              </w:rPr>
            </w:pPr>
            <w:r w:rsidRPr="00D768A5">
              <w:rPr>
                <w:rFonts w:ascii="Aptos" w:hAnsi="Aptos" w:cs="Arial"/>
                <w:iCs/>
                <w:sz w:val="20"/>
                <w:szCs w:val="20"/>
              </w:rPr>
              <w:t>We propose the establishment of a novel genus, "</w:t>
            </w:r>
            <w:r w:rsidR="00D77D56" w:rsidRPr="00D77D56">
              <w:rPr>
                <w:rFonts w:ascii="Aptos" w:hAnsi="Aptos" w:cs="Arial"/>
                <w:i/>
                <w:sz w:val="20"/>
                <w:szCs w:val="20"/>
              </w:rPr>
              <w:t>Hyrcaniavirus</w:t>
            </w:r>
            <w:r w:rsidRPr="00D768A5">
              <w:rPr>
                <w:rFonts w:ascii="Aptos" w:hAnsi="Aptos" w:cs="Arial"/>
                <w:iCs/>
                <w:sz w:val="20"/>
                <w:szCs w:val="20"/>
              </w:rPr>
              <w:t>"</w:t>
            </w:r>
            <w:r w:rsidR="003A34B1">
              <w:rPr>
                <w:rFonts w:ascii="Aptos" w:hAnsi="Aptos" w:cs="Arial"/>
                <w:iCs/>
                <w:sz w:val="20"/>
                <w:szCs w:val="20"/>
              </w:rPr>
              <w:t>,</w:t>
            </w:r>
            <w:r w:rsidRPr="00D768A5">
              <w:rPr>
                <w:rFonts w:ascii="Aptos" w:hAnsi="Aptos" w:cs="Arial"/>
                <w:iCs/>
                <w:sz w:val="20"/>
                <w:szCs w:val="20"/>
              </w:rPr>
              <w:t xml:space="preserve"> within the family Hirszfeldviridae. The proposed genus currently contains a single species represented by the exemplar virus Acinetobacter phage Marjan</w:t>
            </w:r>
            <w:r w:rsidR="003A24C7">
              <w:rPr>
                <w:rFonts w:ascii="Aptos" w:hAnsi="Aptos" w:cs="Arial"/>
                <w:iCs/>
                <w:sz w:val="20"/>
                <w:szCs w:val="20"/>
              </w:rPr>
              <w:t>1</w:t>
            </w:r>
            <w:r w:rsidRPr="00D768A5">
              <w:rPr>
                <w:rFonts w:ascii="Aptos" w:hAnsi="Aptos" w:cs="Arial"/>
                <w:iCs/>
                <w:sz w:val="20"/>
                <w:szCs w:val="20"/>
              </w:rPr>
              <w:t xml:space="preserve"> (GenBank accession number PZ456952.1). </w:t>
            </w:r>
          </w:p>
          <w:p w14:paraId="5A07FA6D" w14:textId="77777777" w:rsidR="00D768A5" w:rsidRPr="00D768A5" w:rsidRDefault="00D768A5" w:rsidP="00D768A5">
            <w:pPr>
              <w:rPr>
                <w:rFonts w:ascii="Aptos" w:hAnsi="Aptos" w:cs="Arial"/>
                <w:i/>
                <w:sz w:val="20"/>
                <w:szCs w:val="20"/>
              </w:rPr>
            </w:pPr>
          </w:p>
          <w:p w14:paraId="2545A78D" w14:textId="77777777" w:rsidR="002B61FD" w:rsidRPr="00D768A5" w:rsidRDefault="002B61FD" w:rsidP="00D768A5">
            <w:pPr>
              <w:rPr>
                <w:rFonts w:ascii="Aptos" w:hAnsi="Aptos" w:cs="Arial"/>
                <w:b/>
                <w:bCs/>
                <w:i/>
                <w:sz w:val="22"/>
                <w:szCs w:val="22"/>
              </w:rPr>
            </w:pPr>
            <w:r w:rsidRPr="00D768A5">
              <w:rPr>
                <w:rFonts w:ascii="Aptos" w:hAnsi="Aptos" w:cs="Arial"/>
                <w:b/>
                <w:bCs/>
                <w:i/>
                <w:sz w:val="22"/>
                <w:szCs w:val="22"/>
              </w:rPr>
              <w:t xml:space="preserve">Demarcation criteria for new taxon/taxa: </w:t>
            </w:r>
          </w:p>
          <w:p w14:paraId="7C3990A1" w14:textId="0C8CADBD" w:rsidR="002B61FD" w:rsidRDefault="00317EA6" w:rsidP="00D768A5">
            <w:pPr>
              <w:rPr>
                <w:rFonts w:ascii="Aptos" w:hAnsi="Aptos" w:cs="Arial"/>
                <w:iCs/>
                <w:sz w:val="20"/>
                <w:szCs w:val="20"/>
                <w:rtl/>
              </w:rPr>
            </w:pPr>
            <w:r w:rsidRPr="00807AB4">
              <w:rPr>
                <w:rFonts w:ascii="Aptos" w:hAnsi="Aptos" w:cs="Arial"/>
                <w:b/>
                <w:bCs/>
                <w:iCs/>
                <w:sz w:val="20"/>
                <w:szCs w:val="20"/>
              </w:rPr>
              <w:t>Genus</w:t>
            </w:r>
            <w:r w:rsidR="003C24D8">
              <w:rPr>
                <w:rFonts w:ascii="Aptos" w:hAnsi="Aptos" w:cs="Arial" w:hint="cs"/>
                <w:b/>
                <w:bCs/>
                <w:iCs/>
                <w:sz w:val="20"/>
                <w:szCs w:val="20"/>
                <w:rtl/>
              </w:rPr>
              <w:t xml:space="preserve"> </w:t>
            </w:r>
            <w:r w:rsidR="002B61FD" w:rsidRPr="00807AB4">
              <w:rPr>
                <w:rFonts w:ascii="Aptos" w:hAnsi="Aptos" w:cs="Arial"/>
                <w:b/>
                <w:bCs/>
                <w:iCs/>
                <w:sz w:val="20"/>
                <w:szCs w:val="20"/>
              </w:rPr>
              <w:t xml:space="preserve">demarcation criteria: </w:t>
            </w:r>
            <w:r w:rsidR="002B61FD" w:rsidRPr="00807AB4">
              <w:rPr>
                <w:rFonts w:ascii="Aptos" w:hAnsi="Aptos" w:cs="Arial"/>
                <w:iCs/>
                <w:sz w:val="20"/>
                <w:szCs w:val="20"/>
              </w:rPr>
              <w:t xml:space="preserve">An intergenomic similarity cut-off of 70%, a combination of average nucleotide identity and alignment fraction, was used to determine genera demarcation. Members of the same genus have &gt;70% intergenomic similarity and cluster tightly in marker gene phylogenies. </w:t>
            </w:r>
          </w:p>
          <w:p w14:paraId="75843F43" w14:textId="77777777" w:rsidR="00807AB4" w:rsidRPr="00807AB4" w:rsidRDefault="00807AB4" w:rsidP="00D768A5">
            <w:pPr>
              <w:rPr>
                <w:rFonts w:ascii="Aptos" w:hAnsi="Aptos" w:cs="Arial"/>
                <w:iCs/>
                <w:sz w:val="20"/>
                <w:szCs w:val="20"/>
              </w:rPr>
            </w:pPr>
          </w:p>
          <w:p w14:paraId="476E6A79" w14:textId="4765D308" w:rsidR="002B61FD" w:rsidRPr="00807AB4" w:rsidRDefault="002B61FD" w:rsidP="00D768A5">
            <w:pPr>
              <w:rPr>
                <w:rFonts w:ascii="Aptos" w:hAnsi="Aptos" w:cs="Arial"/>
                <w:iCs/>
                <w:sz w:val="20"/>
                <w:szCs w:val="20"/>
              </w:rPr>
            </w:pPr>
            <w:r w:rsidRPr="00807AB4">
              <w:rPr>
                <w:rFonts w:ascii="Aptos" w:hAnsi="Aptos" w:cs="Arial"/>
                <w:b/>
                <w:bCs/>
                <w:iCs/>
                <w:sz w:val="20"/>
                <w:szCs w:val="20"/>
              </w:rPr>
              <w:t>Species demarcation criteria:</w:t>
            </w:r>
            <w:r w:rsidRPr="00807AB4">
              <w:rPr>
                <w:rFonts w:ascii="Aptos" w:hAnsi="Aptos" w:cs="Arial"/>
                <w:iCs/>
                <w:sz w:val="20"/>
                <w:szCs w:val="20"/>
              </w:rPr>
              <w:t xml:space="preserve"> A demarcation value of 95% intergenomic similarity was used to define different species according to intergenomic similarity. Members of the same genus have &gt;95% intergenomic similarity</w:t>
            </w:r>
            <w:r w:rsidR="00807AB4">
              <w:rPr>
                <w:rFonts w:ascii="Aptos" w:hAnsi="Aptos" w:cs="Arial" w:hint="cs"/>
                <w:iCs/>
                <w:sz w:val="20"/>
                <w:szCs w:val="20"/>
                <w:rtl/>
              </w:rPr>
              <w:t>.</w:t>
            </w:r>
          </w:p>
          <w:p w14:paraId="642ACFFC" w14:textId="1349E9B8" w:rsidR="00D768A5" w:rsidRPr="00D768A5" w:rsidRDefault="00D768A5" w:rsidP="007271F8">
            <w:pPr>
              <w:rPr>
                <w:rFonts w:ascii="Aptos" w:hAnsi="Aptos" w:cs="Arial"/>
                <w:i/>
                <w:sz w:val="20"/>
                <w:szCs w:val="20"/>
              </w:rPr>
            </w:pPr>
          </w:p>
          <w:p w14:paraId="24692C9E" w14:textId="77777777" w:rsidR="002B61FD" w:rsidRPr="00D768A5" w:rsidRDefault="002B61FD" w:rsidP="00D768A5">
            <w:pPr>
              <w:rPr>
                <w:rFonts w:ascii="Aptos" w:hAnsi="Aptos" w:cs="Arial"/>
                <w:b/>
                <w:bCs/>
                <w:i/>
                <w:sz w:val="22"/>
                <w:szCs w:val="22"/>
                <w:rtl/>
              </w:rPr>
            </w:pPr>
            <w:r w:rsidRPr="00D768A5">
              <w:rPr>
                <w:rFonts w:ascii="Aptos" w:hAnsi="Aptos" w:cs="Arial"/>
                <w:b/>
                <w:bCs/>
                <w:i/>
                <w:sz w:val="22"/>
                <w:szCs w:val="22"/>
              </w:rPr>
              <w:t xml:space="preserve">Justification: </w:t>
            </w:r>
          </w:p>
          <w:p w14:paraId="084AC988" w14:textId="77777777" w:rsidR="00E0331D" w:rsidRDefault="007271F8" w:rsidP="00AA7C34">
            <w:pPr>
              <w:jc w:val="both"/>
              <w:rPr>
                <w:rFonts w:ascii="Aptos" w:hAnsi="Aptos" w:cs="Arial"/>
                <w:iCs/>
                <w:sz w:val="20"/>
                <w:szCs w:val="20"/>
              </w:rPr>
            </w:pPr>
            <w:r w:rsidRPr="003D54EF">
              <w:rPr>
                <w:rFonts w:ascii="Aptos" w:hAnsi="Aptos" w:cs="Arial"/>
                <w:iCs/>
                <w:sz w:val="20"/>
                <w:szCs w:val="20"/>
              </w:rPr>
              <w:t xml:space="preserve">The proposed genus assignment according to the </w:t>
            </w:r>
            <w:r w:rsidR="003B3E3F">
              <w:rPr>
                <w:rFonts w:ascii="Aptos" w:hAnsi="Aptos" w:cs="Arial"/>
                <w:iCs/>
                <w:sz w:val="20"/>
                <w:szCs w:val="20"/>
              </w:rPr>
              <w:t>g</w:t>
            </w:r>
            <w:r w:rsidRPr="003D54EF">
              <w:rPr>
                <w:rFonts w:ascii="Aptos" w:hAnsi="Aptos" w:cs="Arial"/>
                <w:iCs/>
                <w:sz w:val="20"/>
                <w:szCs w:val="20"/>
              </w:rPr>
              <w:t>enus demarcation criteria is supported by several independent genomic analyses. Comparative analyses identified different nearest neighbors, depending on the analytical approach.</w:t>
            </w:r>
            <w:r w:rsidR="00C43AFA">
              <w:rPr>
                <w:rFonts w:ascii="Aptos" w:hAnsi="Aptos" w:cs="Arial"/>
                <w:iCs/>
                <w:sz w:val="20"/>
                <w:szCs w:val="20"/>
              </w:rPr>
              <w:t xml:space="preserve"> </w:t>
            </w:r>
            <w:r w:rsidRPr="003D54EF">
              <w:rPr>
                <w:rFonts w:ascii="Aptos" w:hAnsi="Aptos" w:cs="Arial"/>
                <w:iCs/>
                <w:sz w:val="20"/>
                <w:szCs w:val="20"/>
              </w:rPr>
              <w:t>BLASTn retrieved Acinetobacter phage</w:t>
            </w:r>
            <w:r w:rsidR="00C43AFA">
              <w:rPr>
                <w:rFonts w:ascii="Aptos" w:hAnsi="Aptos" w:cs="Arial"/>
                <w:iCs/>
                <w:sz w:val="20"/>
                <w:szCs w:val="20"/>
              </w:rPr>
              <w:t>s</w:t>
            </w:r>
            <w:r w:rsidRPr="003D54EF">
              <w:rPr>
                <w:rFonts w:ascii="Aptos" w:hAnsi="Aptos" w:cs="Arial"/>
                <w:iCs/>
                <w:sz w:val="20"/>
                <w:szCs w:val="20"/>
              </w:rPr>
              <w:t xml:space="preserve"> Staunch-TS1 and vB_AbaM_fThrA as the closest nucleotide matches</w:t>
            </w:r>
            <w:r w:rsidR="003A24C7">
              <w:rPr>
                <w:rFonts w:ascii="Aptos" w:hAnsi="Aptos" w:cs="Arial"/>
                <w:iCs/>
                <w:sz w:val="20"/>
                <w:szCs w:val="20"/>
              </w:rPr>
              <w:t xml:space="preserve"> </w:t>
            </w:r>
            <w:r w:rsidR="00D477FB">
              <w:rPr>
                <w:rFonts w:ascii="Aptos" w:hAnsi="Aptos" w:cs="Arial"/>
                <w:iCs/>
                <w:sz w:val="20"/>
                <w:szCs w:val="20"/>
              </w:rPr>
              <w:fldChar w:fldCharType="begin">
                <w:fldData xml:space="preserve">PEVuZE5vdGU+PENpdGU+PEF1dGhvcj5TYXllcnM8L0F1dGhvcj48WWVhcj4yMDIxPC9ZZWFyPjxS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</w:fldData>
              </w:fldChar>
            </w:r>
            <w:r w:rsidR="00D477FB">
              <w:rPr>
                <w:rFonts w:ascii="Aptos" w:hAnsi="Aptos" w:cs="Arial"/>
                <w:iCs/>
                <w:sz w:val="20"/>
                <w:szCs w:val="20"/>
              </w:rPr>
              <w:instrText xml:space="preserve"> ADDIN EN.CITE </w:instrText>
            </w:r>
            <w:r w:rsidR="00D477FB">
              <w:rPr>
                <w:rFonts w:ascii="Aptos" w:hAnsi="Aptos" w:cs="Arial"/>
                <w:iCs/>
                <w:sz w:val="20"/>
                <w:szCs w:val="20"/>
              </w:rPr>
              <w:fldChar w:fldCharType="begin">
                <w:fldData xml:space="preserve">PEVuZE5vdGU+PENpdGU+PEF1dGhvcj5TYXllcnM8L0F1dGhvcj48WWVhcj4yMDIxPC9ZZWFyPjxS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</w:fldData>
              </w:fldChar>
            </w:r>
            <w:r w:rsidR="00D477FB">
              <w:rPr>
                <w:rFonts w:ascii="Aptos" w:hAnsi="Aptos" w:cs="Arial"/>
                <w:iCs/>
                <w:sz w:val="20"/>
                <w:szCs w:val="20"/>
              </w:rPr>
              <w:instrText xml:space="preserve"> ADDIN EN.CITE.DATA </w:instrText>
            </w:r>
            <w:r w:rsidR="00D477FB">
              <w:rPr>
                <w:rFonts w:ascii="Aptos" w:hAnsi="Aptos" w:cs="Arial"/>
                <w:iCs/>
                <w:sz w:val="20"/>
                <w:szCs w:val="20"/>
              </w:rPr>
            </w:r>
            <w:r w:rsidR="00D477FB">
              <w:rPr>
                <w:rFonts w:ascii="Aptos" w:hAnsi="Aptos" w:cs="Arial"/>
                <w:iCs/>
                <w:sz w:val="20"/>
                <w:szCs w:val="20"/>
              </w:rPr>
              <w:fldChar w:fldCharType="end"/>
            </w:r>
            <w:r w:rsidR="00D477FB">
              <w:rPr>
                <w:rFonts w:ascii="Aptos" w:hAnsi="Aptos" w:cs="Arial"/>
                <w:iCs/>
                <w:sz w:val="20"/>
                <w:szCs w:val="20"/>
              </w:rPr>
            </w:r>
            <w:r w:rsidR="00D477FB">
              <w:rPr>
                <w:rFonts w:ascii="Aptos" w:hAnsi="Aptos" w:cs="Arial"/>
                <w:iCs/>
                <w:sz w:val="20"/>
                <w:szCs w:val="20"/>
              </w:rPr>
              <w:fldChar w:fldCharType="separate"/>
            </w:r>
            <w:r w:rsidR="00C43AFA">
              <w:rPr>
                <w:rFonts w:ascii="Aptos" w:hAnsi="Aptos" w:cs="Arial"/>
                <w:iCs/>
                <w:noProof/>
                <w:sz w:val="20"/>
                <w:szCs w:val="20"/>
              </w:rPr>
              <w:t>[</w:t>
            </w:r>
            <w:r w:rsidR="00D477FB">
              <w:rPr>
                <w:rFonts w:ascii="Aptos" w:hAnsi="Aptos" w:cs="Arial"/>
                <w:iCs/>
                <w:noProof/>
                <w:sz w:val="20"/>
                <w:szCs w:val="20"/>
              </w:rPr>
              <w:t>1</w:t>
            </w:r>
            <w:r w:rsidR="00C43AFA">
              <w:rPr>
                <w:rFonts w:ascii="Aptos" w:hAnsi="Aptos" w:cs="Arial"/>
                <w:iCs/>
                <w:noProof/>
                <w:sz w:val="20"/>
                <w:szCs w:val="20"/>
              </w:rPr>
              <w:t>]</w:t>
            </w:r>
            <w:r w:rsidR="00D477FB">
              <w:rPr>
                <w:rFonts w:ascii="Aptos" w:hAnsi="Aptos" w:cs="Arial"/>
                <w:iCs/>
                <w:sz w:val="20"/>
                <w:szCs w:val="20"/>
              </w:rPr>
              <w:fldChar w:fldCharType="end"/>
            </w:r>
            <w:r w:rsidRPr="003D54EF">
              <w:rPr>
                <w:rFonts w:ascii="Aptos" w:hAnsi="Aptos" w:cs="Arial"/>
                <w:iCs/>
                <w:sz w:val="20"/>
                <w:szCs w:val="20"/>
              </w:rPr>
              <w:t xml:space="preserve">. The whole-genome phylogeny generated by VICTOR identified Staunch-TS1 as the closest </w:t>
            </w:r>
            <w:r w:rsidR="00E0331D">
              <w:rPr>
                <w:rFonts w:ascii="Aptos" w:hAnsi="Aptos" w:cs="Arial"/>
                <w:iCs/>
                <w:sz w:val="20"/>
                <w:szCs w:val="20"/>
              </w:rPr>
              <w:t>relative</w:t>
            </w:r>
            <w:r w:rsidRPr="003D54EF">
              <w:rPr>
                <w:rFonts w:ascii="Aptos" w:hAnsi="Aptos" w:cs="Arial"/>
                <w:iCs/>
                <w:sz w:val="20"/>
                <w:szCs w:val="20"/>
              </w:rPr>
              <w:t xml:space="preserve"> to </w:t>
            </w:r>
            <w:r w:rsidR="00690EA0" w:rsidRPr="00690EA0">
              <w:rPr>
                <w:rFonts w:ascii="Aptos" w:hAnsi="Aptos" w:cs="Arial"/>
                <w:iCs/>
                <w:sz w:val="20"/>
                <w:szCs w:val="20"/>
              </w:rPr>
              <w:t>Marjan1</w:t>
            </w:r>
            <w:r w:rsidR="003A24C7">
              <w:rPr>
                <w:rFonts w:ascii="Aptos" w:hAnsi="Aptos" w:cs="Arial"/>
                <w:iCs/>
                <w:sz w:val="20"/>
                <w:szCs w:val="20"/>
              </w:rPr>
              <w:t xml:space="preserve"> </w:t>
            </w:r>
            <w:r w:rsidR="00D477FB">
              <w:rPr>
                <w:rFonts w:ascii="Aptos" w:hAnsi="Aptos" w:cs="Arial"/>
                <w:iCs/>
                <w:sz w:val="20"/>
                <w:szCs w:val="20"/>
              </w:rPr>
              <w:fldChar w:fldCharType="begin"/>
            </w:r>
            <w:r w:rsidR="00D477FB">
              <w:rPr>
                <w:rFonts w:ascii="Aptos" w:hAnsi="Aptos" w:cs="Arial"/>
                <w:iCs/>
                <w:sz w:val="20"/>
                <w:szCs w:val="20"/>
              </w:rPr>
              <w:instrText xml:space="preserve"> ADDIN EN.CITE &lt;EndNote&gt;&lt;Cite&gt;&lt;Author&gt;Meier-Kolthoff&lt;/Author&gt;&lt;Year&gt;2017&lt;/Year&gt;&lt;RecNum&gt;2&lt;/RecNum&gt;&lt;DisplayText&gt;(2)&lt;/DisplayText&gt;&lt;record&gt;&lt;rec-number&gt;2&lt;/rec-number&gt;&lt;foreign-keys&gt;&lt;key app="EN" db-id="e5w29pexs9res9exef3pdaa1ewafr2r0z5vx" timestamp="1783445847"&gt;2&lt;/key&gt;&lt;/foreign-keys&gt;&lt;ref-type name="Journal Article"&gt;17&lt;/ref-type&gt;&lt;contributors&gt;&lt;authors&gt;&lt;author&gt;Meier-Kolthoff, J. P.&lt;/author&gt;&lt;author&gt;Göker, M.&lt;/author&gt;&lt;/authors&gt;&lt;/contributors&gt;&lt;auth-address&gt;Department of Bioinformatics, Leibniz Institute DSMZ - German Collection of Microorganisms and Cell Cultures, 38124 Braunschweig, Germany.&lt;/auth-address&gt;&lt;titles&gt;&lt;title&gt;VICTOR: genome-based phylogeny and classification of prokaryotic viruses&lt;/title&gt;&lt;secondary-title&gt;Bioinformatics&lt;/secondary-title&gt;&lt;/titles&gt;&lt;periodical&gt;&lt;full-title&gt;Bioinformatics&lt;/full-title&gt;&lt;/periodical&gt;&lt;pages&gt;3396-3404&lt;/pages&gt;&lt;volume&gt;33&lt;/volume&gt;&lt;number&gt;21&lt;/number&gt;&lt;keywords&gt;&lt;keyword&gt;Archaea/virology&lt;/keyword&gt;&lt;keyword&gt;Bacteria/virology&lt;/keyword&gt;&lt;keyword&gt;*Computer Simulation&lt;/keyword&gt;&lt;keyword&gt;Genomics/*methods&lt;/keyword&gt;&lt;keyword&gt;*Phylogeny&lt;/keyword&gt;&lt;keyword&gt;Sequence Analysis, DNA&lt;/keyword&gt;&lt;keyword&gt;*Software&lt;/keyword&gt;&lt;keyword&gt;Viruses/*classification/*genetics&lt;/keyword&gt;&lt;/keywords&gt;&lt;dates&gt;&lt;year&gt;2017&lt;/year&gt;&lt;pub-dates&gt;&lt;date&gt;Nov 1&lt;/date&gt;&lt;/pub-dates&gt;&lt;/dates&gt;&lt;isbn&gt;1367-4803 (Print)&amp;#xD;1367-4803&lt;/isbn&gt;&lt;accession-num&gt;29036289&lt;/accession-num&gt;&lt;urls&gt;&lt;/urls&gt;&lt;custom2&gt;PMC5860169&lt;/custom2&gt;&lt;electronic-resource-num&gt;10.1093/bioinformatics/btx440&lt;/electronic-resource-num&gt;&lt;remote-database-provider&gt;NLM&lt;/remote-database-provider&gt;&lt;language&gt;eng&lt;/language&gt;&lt;/record&gt;&lt;/Cite&gt;&lt;/EndNote&gt;</w:instrText>
            </w:r>
            <w:r w:rsidR="00D477FB">
              <w:rPr>
                <w:rFonts w:ascii="Aptos" w:hAnsi="Aptos" w:cs="Arial"/>
                <w:iCs/>
                <w:sz w:val="20"/>
                <w:szCs w:val="20"/>
              </w:rPr>
              <w:fldChar w:fldCharType="separate"/>
            </w:r>
            <w:r w:rsidR="00E0331D">
              <w:rPr>
                <w:rFonts w:ascii="Aptos" w:hAnsi="Aptos" w:cs="Arial"/>
                <w:iCs/>
                <w:noProof/>
                <w:sz w:val="20"/>
                <w:szCs w:val="20"/>
              </w:rPr>
              <w:t>[</w:t>
            </w:r>
            <w:r w:rsidR="00D477FB">
              <w:rPr>
                <w:rFonts w:ascii="Aptos" w:hAnsi="Aptos" w:cs="Arial"/>
                <w:iCs/>
                <w:noProof/>
                <w:sz w:val="20"/>
                <w:szCs w:val="20"/>
              </w:rPr>
              <w:t>2</w:t>
            </w:r>
            <w:r w:rsidR="00E0331D">
              <w:rPr>
                <w:rFonts w:ascii="Aptos" w:hAnsi="Aptos" w:cs="Arial"/>
                <w:iCs/>
                <w:noProof/>
                <w:sz w:val="20"/>
                <w:szCs w:val="20"/>
              </w:rPr>
              <w:t>]</w:t>
            </w:r>
            <w:r w:rsidR="00D477FB">
              <w:rPr>
                <w:rFonts w:ascii="Aptos" w:hAnsi="Aptos" w:cs="Arial"/>
                <w:iCs/>
                <w:sz w:val="20"/>
                <w:szCs w:val="20"/>
              </w:rPr>
              <w:fldChar w:fldCharType="end"/>
            </w:r>
            <w:r w:rsidRPr="003D54EF">
              <w:rPr>
                <w:rFonts w:ascii="Aptos" w:hAnsi="Aptos" w:cs="Arial"/>
                <w:iCs/>
                <w:sz w:val="20"/>
                <w:szCs w:val="20"/>
              </w:rPr>
              <w:t xml:space="preserve">. This relationship was supported by limited bootstrap values and was therefore analyzed alongside independent data from VIRIDIC, VipTree, TerL and MCP phylogenies as well as comparative genome organization. </w:t>
            </w:r>
          </w:p>
          <w:p w14:paraId="143E1D7E" w14:textId="2A7049FD" w:rsidR="007271F8" w:rsidRPr="003D54EF" w:rsidRDefault="007271F8" w:rsidP="00AA7C34">
            <w:pPr>
              <w:jc w:val="both"/>
              <w:rPr>
                <w:rFonts w:ascii="Aptos" w:hAnsi="Aptos" w:cs="Arial"/>
                <w:iCs/>
                <w:sz w:val="20"/>
                <w:szCs w:val="20"/>
              </w:rPr>
            </w:pPr>
            <w:r w:rsidRPr="003D54EF">
              <w:rPr>
                <w:rFonts w:ascii="Aptos" w:hAnsi="Aptos" w:cs="Arial"/>
                <w:iCs/>
                <w:sz w:val="20"/>
                <w:szCs w:val="20"/>
              </w:rPr>
              <w:lastRenderedPageBreak/>
              <w:t xml:space="preserve">VIRIDIC analysis identified IME285 as the classified virus with the highest inter-genomic </w:t>
            </w:r>
            <w:r w:rsidR="00455CC8">
              <w:rPr>
                <w:rFonts w:ascii="Aptos" w:hAnsi="Aptos" w:cs="Arial"/>
                <w:iCs/>
                <w:sz w:val="20"/>
                <w:szCs w:val="20"/>
              </w:rPr>
              <w:t xml:space="preserve">nucleotide sequence </w:t>
            </w:r>
            <w:r w:rsidRPr="003D54EF">
              <w:rPr>
                <w:rFonts w:ascii="Aptos" w:hAnsi="Aptos" w:cs="Arial"/>
                <w:iCs/>
                <w:sz w:val="20"/>
                <w:szCs w:val="20"/>
              </w:rPr>
              <w:t xml:space="preserve">similarity to </w:t>
            </w:r>
            <w:r w:rsidR="00690EA0" w:rsidRPr="00690EA0">
              <w:rPr>
                <w:rFonts w:ascii="Aptos" w:hAnsi="Aptos" w:cs="Arial"/>
                <w:iCs/>
                <w:sz w:val="20"/>
                <w:szCs w:val="20"/>
              </w:rPr>
              <w:t>Marjan1</w:t>
            </w:r>
            <w:r w:rsidRPr="003D54EF">
              <w:rPr>
                <w:rFonts w:ascii="Aptos" w:hAnsi="Aptos" w:cs="Arial"/>
                <w:iCs/>
                <w:sz w:val="20"/>
                <w:szCs w:val="20"/>
              </w:rPr>
              <w:t xml:space="preserve"> (66.8%), while Staunch-TS1 and vB_AbaM_fThrA showed lower similarities of 48.3% and 51.4%, respectively</w:t>
            </w:r>
            <w:r w:rsidR="00455CC8">
              <w:rPr>
                <w:rFonts w:ascii="Aptos" w:hAnsi="Aptos" w:cs="Arial"/>
                <w:iCs/>
                <w:sz w:val="20"/>
                <w:szCs w:val="20"/>
              </w:rPr>
              <w:t xml:space="preserve"> </w:t>
            </w:r>
            <w:r w:rsidR="001055BD">
              <w:rPr>
                <w:rFonts w:ascii="Aptos" w:hAnsi="Aptos" w:cs="Arial"/>
                <w:iCs/>
                <w:sz w:val="20"/>
                <w:szCs w:val="20"/>
              </w:rPr>
              <w:fldChar w:fldCharType="begin">
                <w:fldData xml:space="preserve">PEVuZE5vdGU+PENpdGU+PEF1dGhvcj5Nb3JhcnU8L0F1dGhvcj48WWVhcj4yMDIwPC9ZZWFyPjxS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</w:fldData>
              </w:fldChar>
            </w:r>
            <w:r w:rsidR="001055BD">
              <w:rPr>
                <w:rFonts w:ascii="Aptos" w:hAnsi="Aptos" w:cs="Arial"/>
                <w:iCs/>
                <w:sz w:val="20"/>
                <w:szCs w:val="20"/>
              </w:rPr>
              <w:instrText xml:space="preserve"> ADDIN EN.CITE </w:instrText>
            </w:r>
            <w:r w:rsidR="001055BD">
              <w:rPr>
                <w:rFonts w:ascii="Aptos" w:hAnsi="Aptos" w:cs="Arial"/>
                <w:iCs/>
                <w:sz w:val="20"/>
                <w:szCs w:val="20"/>
              </w:rPr>
              <w:fldChar w:fldCharType="begin">
                <w:fldData xml:space="preserve">PEVuZE5vdGU+PENpdGU+PEF1dGhvcj5Nb3JhcnU8L0F1dGhvcj48WWVhcj4yMDIwPC9ZZWFyPjxS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</w:fldData>
              </w:fldChar>
            </w:r>
            <w:r w:rsidR="001055BD">
              <w:rPr>
                <w:rFonts w:ascii="Aptos" w:hAnsi="Aptos" w:cs="Arial"/>
                <w:iCs/>
                <w:sz w:val="20"/>
                <w:szCs w:val="20"/>
              </w:rPr>
              <w:instrText xml:space="preserve"> ADDIN EN.CITE.DATA </w:instrText>
            </w:r>
            <w:r w:rsidR="001055BD">
              <w:rPr>
                <w:rFonts w:ascii="Aptos" w:hAnsi="Aptos" w:cs="Arial"/>
                <w:iCs/>
                <w:sz w:val="20"/>
                <w:szCs w:val="20"/>
              </w:rPr>
            </w:r>
            <w:r w:rsidR="001055BD">
              <w:rPr>
                <w:rFonts w:ascii="Aptos" w:hAnsi="Aptos" w:cs="Arial"/>
                <w:iCs/>
                <w:sz w:val="20"/>
                <w:szCs w:val="20"/>
              </w:rPr>
              <w:fldChar w:fldCharType="end"/>
            </w:r>
            <w:r w:rsidR="001055BD">
              <w:rPr>
                <w:rFonts w:ascii="Aptos" w:hAnsi="Aptos" w:cs="Arial"/>
                <w:iCs/>
                <w:sz w:val="20"/>
                <w:szCs w:val="20"/>
              </w:rPr>
            </w:r>
            <w:r w:rsidR="001055BD">
              <w:rPr>
                <w:rFonts w:ascii="Aptos" w:hAnsi="Aptos" w:cs="Arial"/>
                <w:iCs/>
                <w:sz w:val="20"/>
                <w:szCs w:val="20"/>
              </w:rPr>
              <w:fldChar w:fldCharType="separate"/>
            </w:r>
            <w:r w:rsidR="00455CC8">
              <w:rPr>
                <w:rFonts w:ascii="Aptos" w:hAnsi="Aptos" w:cs="Arial"/>
                <w:iCs/>
                <w:noProof/>
                <w:sz w:val="20"/>
                <w:szCs w:val="20"/>
              </w:rPr>
              <w:t>[</w:t>
            </w:r>
            <w:r w:rsidR="001055BD">
              <w:rPr>
                <w:rFonts w:ascii="Aptos" w:hAnsi="Aptos" w:cs="Arial"/>
                <w:iCs/>
                <w:noProof/>
                <w:sz w:val="20"/>
                <w:szCs w:val="20"/>
              </w:rPr>
              <w:t>3</w:t>
            </w:r>
            <w:r w:rsidR="00455CC8">
              <w:rPr>
                <w:rFonts w:ascii="Aptos" w:hAnsi="Aptos" w:cs="Arial"/>
                <w:iCs/>
                <w:noProof/>
                <w:sz w:val="20"/>
                <w:szCs w:val="20"/>
              </w:rPr>
              <w:t>]</w:t>
            </w:r>
            <w:r w:rsidR="001055BD">
              <w:rPr>
                <w:rFonts w:ascii="Aptos" w:hAnsi="Aptos" w:cs="Arial"/>
                <w:iCs/>
                <w:sz w:val="20"/>
                <w:szCs w:val="20"/>
              </w:rPr>
              <w:fldChar w:fldCharType="end"/>
            </w:r>
            <w:r w:rsidRPr="003D54EF">
              <w:rPr>
                <w:rFonts w:ascii="Aptos" w:hAnsi="Aptos" w:cs="Arial"/>
                <w:iCs/>
                <w:sz w:val="20"/>
                <w:szCs w:val="20"/>
              </w:rPr>
              <w:t xml:space="preserve">. Consequently, the current closest classified taxon is represented by </w:t>
            </w:r>
            <w:r w:rsidRPr="00455CC8">
              <w:rPr>
                <w:rFonts w:ascii="Aptos" w:hAnsi="Aptos" w:cs="Arial"/>
                <w:i/>
                <w:sz w:val="20"/>
                <w:szCs w:val="20"/>
              </w:rPr>
              <w:t>Obolenskvirus IME285</w:t>
            </w:r>
            <w:r w:rsidRPr="003D54EF">
              <w:rPr>
                <w:rFonts w:ascii="Aptos" w:hAnsi="Aptos" w:cs="Arial"/>
                <w:iCs/>
                <w:sz w:val="20"/>
                <w:szCs w:val="20"/>
              </w:rPr>
              <w:t xml:space="preserve">. Whole-proteome analysis using VipTree placed </w:t>
            </w:r>
            <w:r w:rsidR="00690EA0" w:rsidRPr="00690EA0">
              <w:rPr>
                <w:rFonts w:ascii="Aptos" w:hAnsi="Aptos" w:cs="Arial"/>
                <w:iCs/>
                <w:sz w:val="20"/>
                <w:szCs w:val="20"/>
              </w:rPr>
              <w:t>Acinetobacter phage Marjan1</w:t>
            </w:r>
            <w:r w:rsidR="00690EA0">
              <w:rPr>
                <w:rFonts w:ascii="Aptos" w:hAnsi="Aptos" w:cs="Arial" w:hint="cs"/>
                <w:iCs/>
                <w:sz w:val="20"/>
                <w:szCs w:val="20"/>
                <w:rtl/>
              </w:rPr>
              <w:t xml:space="preserve"> </w:t>
            </w:r>
            <w:r w:rsidRPr="003D54EF">
              <w:rPr>
                <w:rFonts w:ascii="Aptos" w:hAnsi="Aptos" w:cs="Arial"/>
                <w:iCs/>
                <w:sz w:val="20"/>
                <w:szCs w:val="20"/>
              </w:rPr>
              <w:t xml:space="preserve">within the family Hirszfeldviridae, clustering with its closest relatives while forming a distinct branch from currently recognized genera. Comparative tBLASTx genome visualization further demonstrated extensive protein-level homology between </w:t>
            </w:r>
            <w:r w:rsidR="00690EA0" w:rsidRPr="00690EA0">
              <w:rPr>
                <w:rFonts w:ascii="Aptos" w:hAnsi="Aptos" w:cs="Arial"/>
                <w:iCs/>
                <w:sz w:val="20"/>
                <w:szCs w:val="20"/>
              </w:rPr>
              <w:t>Acinetobacter phage Marjan1</w:t>
            </w:r>
            <w:r w:rsidRPr="003D54EF">
              <w:rPr>
                <w:rFonts w:ascii="Aptos" w:hAnsi="Aptos" w:cs="Arial"/>
                <w:iCs/>
                <w:sz w:val="20"/>
                <w:szCs w:val="20"/>
              </w:rPr>
              <w:t xml:space="preserve"> and the closely related phages AB1 and A</w:t>
            </w:r>
            <w:r w:rsidR="0089184F">
              <w:rPr>
                <w:rFonts w:ascii="Aptos" w:hAnsi="Aptos" w:cs="Arial"/>
                <w:iCs/>
                <w:sz w:val="20"/>
                <w:szCs w:val="20"/>
              </w:rPr>
              <w:t>b</w:t>
            </w:r>
            <w:r w:rsidRPr="003D54EF">
              <w:rPr>
                <w:rFonts w:ascii="Aptos" w:hAnsi="Aptos" w:cs="Arial"/>
                <w:iCs/>
                <w:sz w:val="20"/>
                <w:szCs w:val="20"/>
              </w:rPr>
              <w:t xml:space="preserve">p2, indicating conservation of the core genomic repertoire. However, numerous crossing alignments and discontinuous homologous blocks revealed substantial genome rearrangements and reduced synteny, reflecting extensive differences in gene order despite shared gene content. These observations indicate that </w:t>
            </w:r>
            <w:r w:rsidR="001055BD" w:rsidRPr="001055BD">
              <w:rPr>
                <w:rFonts w:ascii="Aptos" w:hAnsi="Aptos" w:cs="Arial"/>
                <w:iCs/>
                <w:sz w:val="20"/>
                <w:szCs w:val="20"/>
              </w:rPr>
              <w:t>Acinetobacter phage Marjan</w:t>
            </w:r>
            <w:r w:rsidR="003A24C7">
              <w:rPr>
                <w:rFonts w:ascii="Aptos" w:hAnsi="Aptos" w:cs="Arial"/>
                <w:iCs/>
                <w:sz w:val="20"/>
                <w:szCs w:val="20"/>
              </w:rPr>
              <w:t>1</w:t>
            </w:r>
            <w:r w:rsidRPr="003D54EF">
              <w:rPr>
                <w:rFonts w:ascii="Aptos" w:hAnsi="Aptos" w:cs="Arial"/>
                <w:iCs/>
                <w:sz w:val="20"/>
                <w:szCs w:val="20"/>
              </w:rPr>
              <w:t xml:space="preserve"> shares a conserved proteomic backbone with members of Hirszfeldviridae while possessing a distinct genomic organization, supporting its recognition as a separate evolutionary lineage</w:t>
            </w:r>
            <w:r w:rsidR="00FD432C">
              <w:rPr>
                <w:rFonts w:ascii="Aptos" w:hAnsi="Aptos" w:cs="Arial"/>
                <w:iCs/>
                <w:sz w:val="20"/>
                <w:szCs w:val="20"/>
              </w:rPr>
              <w:t xml:space="preserve"> </w:t>
            </w:r>
            <w:r w:rsidR="009C32BB">
              <w:rPr>
                <w:rFonts w:ascii="Aptos" w:hAnsi="Aptos" w:cs="Arial"/>
                <w:iCs/>
                <w:sz w:val="20"/>
                <w:szCs w:val="20"/>
              </w:rPr>
              <w:fldChar w:fldCharType="begin"/>
            </w:r>
            <w:r w:rsidR="009C32BB">
              <w:rPr>
                <w:rFonts w:ascii="Aptos" w:hAnsi="Aptos" w:cs="Arial"/>
                <w:iCs/>
                <w:sz w:val="20"/>
                <w:szCs w:val="20"/>
              </w:rPr>
              <w:instrText xml:space="preserve"> ADDIN EN.CITE &lt;EndNote&gt;&lt;Cite&gt;&lt;Author&gt;Nishimura&lt;/Author&gt;&lt;Year&gt;2017&lt;/Year&gt;&lt;RecNum&gt;4&lt;/RecNum&gt;&lt;DisplayText&gt;(4)&lt;/DisplayText&gt;&lt;record&gt;&lt;rec-number&gt;4&lt;/rec-number&gt;&lt;foreign-keys&gt;&lt;key app="EN" db-id="e5w29pexs9res9exef3pdaa1ewafr2r0z5vx" timestamp="1783446746"&gt;4&lt;/key&gt;&lt;/foreign-keys&gt;&lt;ref-type name="Journal Article"&gt;17&lt;/ref-type&gt;&lt;contributors&gt;&lt;authors&gt;&lt;author&gt;Nishimura, Y.&lt;/author&gt;&lt;author&gt;Yoshida, T.&lt;/author&gt;&lt;author&gt;Kuronishi, M.&lt;/author&gt;&lt;author&gt;Uehara, H.&lt;/author&gt;&lt;author&gt;Ogata, H.&lt;/author&gt;&lt;author&gt;Goto, S.&lt;/author&gt;&lt;/authors&gt;&lt;/contributors&gt;&lt;auth-address&gt;Institute for Chemical Research, Kyoto University, Uji, Kyoto 611-0011, Japan.&amp;#xD;Graduate School of Agriculture, Kyoto University, Kitashirakawa-Oiwake, Sakyo-ku, Kyoto 606-8502, Japan.&amp;#xD;SGI Japan, Ltd., Yebisu Garden Place Tower 31F, 4-20-3 Ebisu, Shibuya-ku, Tokyo 150-6031, Japan.&lt;/auth-address&gt;&lt;titles&gt;&lt;title&gt;ViPTree: the viral proteomic tree server&lt;/title&gt;&lt;secondary-title&gt;Bioinformatics&lt;/secondary-title&gt;&lt;/titles&gt;&lt;periodical&gt;&lt;full-title&gt;Bioinformatics&lt;/full-title&gt;&lt;/periodical&gt;&lt;pages&gt;2379-2380&lt;/pages&gt;&lt;volume&gt;33&lt;/volume&gt;&lt;number&gt;15&lt;/number&gt;&lt;keywords&gt;&lt;keyword&gt;*Genome, Viral&lt;/keyword&gt;&lt;keyword&gt;Genomics/methods&lt;/keyword&gt;&lt;keyword&gt;Metagenome&lt;/keyword&gt;&lt;keyword&gt;Metagenomics/methods&lt;/keyword&gt;&lt;keyword&gt;Molecular Sequence Annotation/*methods&lt;/keyword&gt;&lt;keyword&gt;Proteomics/*methods&lt;/keyword&gt;&lt;keyword&gt;*Software&lt;/keyword&gt;&lt;keyword&gt;Viral Proteins/classification/*genetics&lt;/keyword&gt;&lt;keyword&gt;Viruses/*classification/genetics&lt;/keyword&gt;&lt;/keywords&gt;&lt;dates&gt;&lt;year&gt;2017&lt;/year&gt;&lt;pub-dates&gt;&lt;date&gt;Aug 1&lt;/date&gt;&lt;/pub-dates&gt;&lt;/dates&gt;&lt;isbn&gt;1367-4803&lt;/isbn&gt;&lt;accession-num&gt;28379287&lt;/accession-num&gt;&lt;urls&gt;&lt;/urls&gt;&lt;electronic-resource-num&gt;10.1093/bioinformatics/btx157&lt;/electronic-resource-num&gt;&lt;remote-database-provider&gt;NLM&lt;/remote-database-provider&gt;&lt;language&gt;eng&lt;/language&gt;&lt;/record&gt;&lt;/Cite&gt;&lt;/EndNote&gt;</w:instrText>
            </w:r>
            <w:r w:rsidR="009C32BB">
              <w:rPr>
                <w:rFonts w:ascii="Aptos" w:hAnsi="Aptos" w:cs="Arial"/>
                <w:iCs/>
                <w:sz w:val="20"/>
                <w:szCs w:val="20"/>
              </w:rPr>
              <w:fldChar w:fldCharType="separate"/>
            </w:r>
            <w:r w:rsidR="00FD432C">
              <w:rPr>
                <w:rFonts w:ascii="Aptos" w:hAnsi="Aptos" w:cs="Arial"/>
                <w:iCs/>
                <w:noProof/>
                <w:sz w:val="20"/>
                <w:szCs w:val="20"/>
              </w:rPr>
              <w:t>[</w:t>
            </w:r>
            <w:r w:rsidR="009C32BB">
              <w:rPr>
                <w:rFonts w:ascii="Aptos" w:hAnsi="Aptos" w:cs="Arial"/>
                <w:iCs/>
                <w:noProof/>
                <w:sz w:val="20"/>
                <w:szCs w:val="20"/>
              </w:rPr>
              <w:t>4</w:t>
            </w:r>
            <w:r w:rsidR="00FD432C">
              <w:rPr>
                <w:rFonts w:ascii="Aptos" w:hAnsi="Aptos" w:cs="Arial"/>
                <w:iCs/>
                <w:noProof/>
                <w:sz w:val="20"/>
                <w:szCs w:val="20"/>
              </w:rPr>
              <w:t>]</w:t>
            </w:r>
            <w:r w:rsidR="009C32BB">
              <w:rPr>
                <w:rFonts w:ascii="Aptos" w:hAnsi="Aptos" w:cs="Arial"/>
                <w:iCs/>
                <w:sz w:val="20"/>
                <w:szCs w:val="20"/>
              </w:rPr>
              <w:fldChar w:fldCharType="end"/>
            </w:r>
            <w:r w:rsidRPr="003D54EF">
              <w:rPr>
                <w:rFonts w:ascii="Aptos" w:hAnsi="Aptos" w:cs="Arial"/>
                <w:iCs/>
                <w:sz w:val="20"/>
                <w:szCs w:val="20"/>
              </w:rPr>
              <w:t xml:space="preserve">. </w:t>
            </w:r>
          </w:p>
          <w:p w14:paraId="2DFE2299" w14:textId="5EDEDE76" w:rsidR="007271F8" w:rsidRPr="003D54EF" w:rsidRDefault="007271F8" w:rsidP="00AA7C34">
            <w:pPr>
              <w:jc w:val="both"/>
              <w:rPr>
                <w:rFonts w:ascii="Aptos" w:hAnsi="Aptos" w:cs="Arial"/>
                <w:iCs/>
                <w:sz w:val="20"/>
                <w:szCs w:val="20"/>
              </w:rPr>
            </w:pPr>
            <w:r w:rsidRPr="003D54EF">
              <w:rPr>
                <w:rFonts w:ascii="Aptos" w:hAnsi="Aptos" w:cs="Arial"/>
                <w:iCs/>
                <w:sz w:val="20"/>
                <w:szCs w:val="20"/>
              </w:rPr>
              <w:t>Comparative genome organization generated using Clinker revealed conservation of the core structural and DNA-packaging modules together with multiple non-syntenic regions, genome rearrangements, and unique gene organizations relative to IME285 and the closely related unclassified phage Staunch-TS1</w:t>
            </w:r>
            <w:r w:rsidR="009C32BB">
              <w:rPr>
                <w:rFonts w:ascii="Aptos" w:hAnsi="Aptos" w:cs="Arial"/>
                <w:iCs/>
                <w:sz w:val="20"/>
                <w:szCs w:val="20"/>
              </w:rPr>
              <w:fldChar w:fldCharType="begin"/>
            </w:r>
            <w:r w:rsidR="009C32BB">
              <w:rPr>
                <w:rFonts w:ascii="Aptos" w:hAnsi="Aptos" w:cs="Arial"/>
                <w:iCs/>
                <w:sz w:val="20"/>
                <w:szCs w:val="20"/>
              </w:rPr>
              <w:instrText xml:space="preserve"> ADDIN EN.CITE &lt;EndNote&gt;&lt;Cite&gt;&lt;Author&gt;Gilchrist&lt;/Author&gt;&lt;Year&gt;2021&lt;/Year&gt;&lt;RecNum&gt;5&lt;/RecNum&gt;&lt;DisplayText&gt;(5)&lt;/DisplayText&gt;&lt;record&gt;&lt;rec-number&gt;5&lt;/rec-number&gt;&lt;foreign-keys&gt;&lt;key app="EN" db-id="e5w29pexs9res9exef3pdaa1ewafr2r0z5vx" timestamp="1783447008"&gt;5&lt;/key&gt;&lt;/foreign-keys&gt;&lt;ref-type name="Journal Article"&gt;17&lt;/ref-type&gt;&lt;contributors&gt;&lt;authors&gt;&lt;author&gt;Gilchrist, C. L. M.&lt;/author&gt;&lt;author&gt;Chooi, Y. H.&lt;/author&gt;&lt;/authors&gt;&lt;/contributors&gt;&lt;auth-address&gt;School of Molecular Sciences, The University of Western Australia, Crawley, WA 6009, Australia.&lt;/auth-address&gt;&lt;titles&gt;&lt;title&gt;clinker &amp;amp; clustermap.js: automatic generation of gene cluster comparison figures&lt;/title&gt;&lt;secondary-title&gt;Bioinformatics&lt;/secondary-title&gt;&lt;/titles&gt;&lt;periodical&gt;&lt;full-title&gt;Bioinformatics&lt;/full-title&gt;&lt;/periodical&gt;&lt;pages&gt;2473-2475&lt;/pages&gt;&lt;volume&gt;37&lt;/volume&gt;&lt;number&gt;16&lt;/number&gt;&lt;dates&gt;&lt;year&gt;2021&lt;/year&gt;&lt;pub-dates&gt;&lt;date&gt;Aug 25&lt;/date&gt;&lt;/pub-dates&gt;&lt;/dates&gt;&lt;isbn&gt;1367-4803&lt;/isbn&gt;&lt;accession-num&gt;33459763&lt;/accession-num&gt;&lt;urls&gt;&lt;/urls&gt;&lt;electronic-resource-num&gt;10.1093/bioinformatics/btab007&lt;/electronic-resource-num&gt;&lt;remote-database-provider&gt;NLM&lt;/remote-database-provider&gt;&lt;language&gt;eng&lt;/language&gt;&lt;/record&gt;&lt;/Cite&gt;&lt;/EndNote&gt;</w:instrText>
            </w:r>
            <w:r w:rsidR="009C32BB">
              <w:rPr>
                <w:rFonts w:ascii="Aptos" w:hAnsi="Aptos" w:cs="Arial"/>
                <w:iCs/>
                <w:sz w:val="20"/>
                <w:szCs w:val="20"/>
              </w:rPr>
              <w:fldChar w:fldCharType="separate"/>
            </w:r>
            <w:r w:rsidR="00FD432C">
              <w:rPr>
                <w:rFonts w:ascii="Aptos" w:hAnsi="Aptos" w:cs="Arial"/>
                <w:iCs/>
                <w:noProof/>
                <w:sz w:val="20"/>
                <w:szCs w:val="20"/>
              </w:rPr>
              <w:t>[</w:t>
            </w:r>
            <w:r w:rsidR="009C32BB">
              <w:rPr>
                <w:rFonts w:ascii="Aptos" w:hAnsi="Aptos" w:cs="Arial"/>
                <w:iCs/>
                <w:noProof/>
                <w:sz w:val="20"/>
                <w:szCs w:val="20"/>
              </w:rPr>
              <w:t>5</w:t>
            </w:r>
            <w:r w:rsidR="000D1D26">
              <w:rPr>
                <w:rFonts w:ascii="Aptos" w:hAnsi="Aptos" w:cs="Arial"/>
                <w:iCs/>
                <w:noProof/>
                <w:sz w:val="20"/>
                <w:szCs w:val="20"/>
              </w:rPr>
              <w:t>]</w:t>
            </w:r>
            <w:r w:rsidR="009C32BB">
              <w:rPr>
                <w:rFonts w:ascii="Aptos" w:hAnsi="Aptos" w:cs="Arial"/>
                <w:iCs/>
                <w:sz w:val="20"/>
                <w:szCs w:val="20"/>
              </w:rPr>
              <w:fldChar w:fldCharType="end"/>
            </w:r>
            <w:r w:rsidRPr="003D54EF">
              <w:rPr>
                <w:rFonts w:ascii="Aptos" w:hAnsi="Aptos" w:cs="Arial"/>
                <w:iCs/>
                <w:sz w:val="20"/>
                <w:szCs w:val="20"/>
              </w:rPr>
              <w:t xml:space="preserve">. These findings were independently supported by phylogenetic analyses of two conserved hallmark proteins, the large terminase subunit (TerL) and the major capsid protein (MCP), both of which recovered </w:t>
            </w:r>
            <w:r w:rsidR="00690EA0" w:rsidRPr="00690EA0">
              <w:rPr>
                <w:rFonts w:ascii="Aptos" w:hAnsi="Aptos" w:cs="Arial"/>
                <w:iCs/>
                <w:sz w:val="20"/>
                <w:szCs w:val="20"/>
              </w:rPr>
              <w:t>Acinetobacter phage Marjan1</w:t>
            </w:r>
            <w:r w:rsidRPr="003D54EF">
              <w:rPr>
                <w:rFonts w:ascii="Aptos" w:hAnsi="Aptos" w:cs="Arial"/>
                <w:iCs/>
                <w:sz w:val="20"/>
                <w:szCs w:val="20"/>
              </w:rPr>
              <w:t xml:space="preserve"> as a distinct lineage</w:t>
            </w:r>
            <w:r w:rsidR="00FD432C">
              <w:rPr>
                <w:rFonts w:ascii="Aptos" w:hAnsi="Aptos" w:cs="Arial"/>
                <w:iCs/>
                <w:sz w:val="20"/>
                <w:szCs w:val="20"/>
              </w:rPr>
              <w:t xml:space="preserve"> </w:t>
            </w:r>
            <w:r w:rsidR="00D86944">
              <w:rPr>
                <w:rFonts w:ascii="Aptos" w:hAnsi="Aptos" w:cs="Arial"/>
                <w:iCs/>
                <w:sz w:val="20"/>
                <w:szCs w:val="20"/>
              </w:rPr>
              <w:fldChar w:fldCharType="begin">
                <w:fldData xml:space="preserve">PEVuZE5vdGU+PENpdGU+PEF1dGhvcj5MZW1vaW5lPC9BdXRob3I+PFllYXI+MjAxOTwvWWVhcj48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</w:fldData>
              </w:fldChar>
            </w:r>
            <w:r w:rsidR="00D86944">
              <w:rPr>
                <w:rFonts w:ascii="Aptos" w:hAnsi="Aptos" w:cs="Arial"/>
                <w:iCs/>
                <w:sz w:val="20"/>
                <w:szCs w:val="20"/>
              </w:rPr>
              <w:instrText xml:space="preserve"> ADDIN EN.CITE </w:instrText>
            </w:r>
            <w:r w:rsidR="00D86944">
              <w:rPr>
                <w:rFonts w:ascii="Aptos" w:hAnsi="Aptos" w:cs="Arial"/>
                <w:iCs/>
                <w:sz w:val="20"/>
                <w:szCs w:val="20"/>
              </w:rPr>
              <w:fldChar w:fldCharType="begin">
                <w:fldData xml:space="preserve">PEVuZE5vdGU+PENpdGU+PEF1dGhvcj5MZW1vaW5lPC9BdXRob3I+PFllYXI+MjAxOTwvWWVhcj48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</w:fldData>
              </w:fldChar>
            </w:r>
            <w:r w:rsidR="00D86944">
              <w:rPr>
                <w:rFonts w:ascii="Aptos" w:hAnsi="Aptos" w:cs="Arial"/>
                <w:iCs/>
                <w:sz w:val="20"/>
                <w:szCs w:val="20"/>
              </w:rPr>
              <w:instrText xml:space="preserve"> ADDIN EN.CITE.DATA </w:instrText>
            </w:r>
            <w:r w:rsidR="00D86944">
              <w:rPr>
                <w:rFonts w:ascii="Aptos" w:hAnsi="Aptos" w:cs="Arial"/>
                <w:iCs/>
                <w:sz w:val="20"/>
                <w:szCs w:val="20"/>
              </w:rPr>
            </w:r>
            <w:r w:rsidR="00D86944">
              <w:rPr>
                <w:rFonts w:ascii="Aptos" w:hAnsi="Aptos" w:cs="Arial"/>
                <w:iCs/>
                <w:sz w:val="20"/>
                <w:szCs w:val="20"/>
              </w:rPr>
              <w:fldChar w:fldCharType="end"/>
            </w:r>
            <w:r w:rsidR="00D86944">
              <w:rPr>
                <w:rFonts w:ascii="Aptos" w:hAnsi="Aptos" w:cs="Arial"/>
                <w:iCs/>
                <w:sz w:val="20"/>
                <w:szCs w:val="20"/>
              </w:rPr>
            </w:r>
            <w:r w:rsidR="00D86944">
              <w:rPr>
                <w:rFonts w:ascii="Aptos" w:hAnsi="Aptos" w:cs="Arial"/>
                <w:iCs/>
                <w:sz w:val="20"/>
                <w:szCs w:val="20"/>
              </w:rPr>
              <w:fldChar w:fldCharType="separate"/>
            </w:r>
            <w:r w:rsidR="00FD432C">
              <w:rPr>
                <w:rFonts w:ascii="Aptos" w:hAnsi="Aptos" w:cs="Arial"/>
                <w:iCs/>
                <w:noProof/>
                <w:sz w:val="20"/>
                <w:szCs w:val="20"/>
              </w:rPr>
              <w:t>[</w:t>
            </w:r>
            <w:r w:rsidR="00D86944">
              <w:rPr>
                <w:rFonts w:ascii="Aptos" w:hAnsi="Aptos" w:cs="Arial"/>
                <w:iCs/>
                <w:noProof/>
                <w:sz w:val="20"/>
                <w:szCs w:val="20"/>
              </w:rPr>
              <w:t>6, 7</w:t>
            </w:r>
            <w:r w:rsidR="00FD432C">
              <w:rPr>
                <w:rFonts w:ascii="Aptos" w:hAnsi="Aptos" w:cs="Arial"/>
                <w:iCs/>
                <w:noProof/>
                <w:sz w:val="20"/>
                <w:szCs w:val="20"/>
              </w:rPr>
              <w:t>]</w:t>
            </w:r>
            <w:r w:rsidR="00D86944">
              <w:rPr>
                <w:rFonts w:ascii="Aptos" w:hAnsi="Aptos" w:cs="Arial"/>
                <w:iCs/>
                <w:sz w:val="20"/>
                <w:szCs w:val="20"/>
              </w:rPr>
              <w:fldChar w:fldCharType="end"/>
            </w:r>
            <w:r w:rsidRPr="003D54EF">
              <w:rPr>
                <w:rFonts w:ascii="Aptos" w:hAnsi="Aptos" w:cs="Arial"/>
                <w:iCs/>
                <w:sz w:val="20"/>
                <w:szCs w:val="20"/>
              </w:rPr>
              <w:t xml:space="preserve">. </w:t>
            </w:r>
          </w:p>
          <w:p w14:paraId="6E662379" w14:textId="7558B38C" w:rsidR="007271F8" w:rsidRPr="003D54EF" w:rsidRDefault="007271F8" w:rsidP="00AA7C34">
            <w:pPr>
              <w:jc w:val="both"/>
              <w:rPr>
                <w:rFonts w:ascii="Aptos" w:hAnsi="Aptos" w:cs="Arial"/>
                <w:iCs/>
                <w:sz w:val="20"/>
                <w:szCs w:val="20"/>
                <w:rtl/>
              </w:rPr>
            </w:pPr>
            <w:r w:rsidRPr="003D54EF">
              <w:rPr>
                <w:rFonts w:ascii="Aptos" w:hAnsi="Aptos" w:cs="Arial"/>
                <w:iCs/>
                <w:sz w:val="20"/>
                <w:szCs w:val="20"/>
              </w:rPr>
              <w:t>The complete annotated genome consists of</w:t>
            </w:r>
            <w:r w:rsidR="000D1D26">
              <w:rPr>
                <w:rFonts w:ascii="Aptos" w:hAnsi="Aptos" w:cs="Arial"/>
                <w:iCs/>
                <w:sz w:val="20"/>
                <w:szCs w:val="20"/>
              </w:rPr>
              <w:t xml:space="preserve"> Marjan1 is</w:t>
            </w:r>
            <w:r w:rsidRPr="003D54EF">
              <w:rPr>
                <w:rFonts w:ascii="Aptos" w:hAnsi="Aptos" w:cs="Arial"/>
                <w:iCs/>
                <w:sz w:val="20"/>
                <w:szCs w:val="20"/>
              </w:rPr>
              <w:t xml:space="preserve"> 44,957 base pairs with a GC content of 37.62% and encodes 85 predicted coding sequences (CDS</w:t>
            </w:r>
            <w:r w:rsidR="0089184F">
              <w:rPr>
                <w:rFonts w:ascii="Aptos" w:hAnsi="Aptos" w:cs="Arial"/>
                <w:iCs/>
                <w:sz w:val="20"/>
                <w:szCs w:val="20"/>
              </w:rPr>
              <w:t>s</w:t>
            </w:r>
            <w:r w:rsidRPr="003D54EF">
              <w:rPr>
                <w:rFonts w:ascii="Aptos" w:hAnsi="Aptos" w:cs="Arial"/>
                <w:iCs/>
                <w:sz w:val="20"/>
                <w:szCs w:val="20"/>
              </w:rPr>
              <w:t>). Thirty-two proteins have been assigned putative biological functions, while fifty-three proteins are still considered hypothetical. No tRNA genes were detected</w:t>
            </w:r>
            <w:r w:rsidR="003F48AD">
              <w:rPr>
                <w:rFonts w:ascii="Aptos" w:hAnsi="Aptos" w:cs="Arial"/>
                <w:iCs/>
                <w:sz w:val="20"/>
                <w:szCs w:val="20"/>
              </w:rPr>
              <w:t xml:space="preserve"> </w:t>
            </w:r>
            <w:r w:rsidR="003F48AD" w:rsidRPr="003F48AD">
              <w:rPr>
                <w:rFonts w:ascii="Aptos" w:hAnsi="Aptos" w:cs="Arial"/>
                <w:iCs/>
                <w:sz w:val="20"/>
                <w:szCs w:val="20"/>
              </w:rPr>
              <w:t>(Table 1)</w:t>
            </w:r>
            <w:r w:rsidR="003F48AD" w:rsidRPr="003F48AD">
              <w:rPr>
                <w:rFonts w:ascii="Aptos" w:hAnsi="Aptos" w:cs="Arial" w:hint="cs"/>
                <w:iCs/>
                <w:sz w:val="20"/>
                <w:szCs w:val="20"/>
                <w:rtl/>
              </w:rPr>
              <w:t>.</w:t>
            </w:r>
          </w:p>
          <w:p w14:paraId="07FBC2E1" w14:textId="3A7F52DB" w:rsidR="00FC2269" w:rsidRPr="00EC0D20" w:rsidRDefault="002B61FD" w:rsidP="00EC0D20">
            <w:pPr>
              <w:jc w:val="both"/>
              <w:rPr>
                <w:rFonts w:ascii="Aptos" w:hAnsi="Aptos" w:cs="Arial"/>
                <w:iCs/>
                <w:sz w:val="20"/>
                <w:szCs w:val="20"/>
                <w:rtl/>
                <w:lang w:bidi="fa-IR"/>
              </w:rPr>
            </w:pPr>
            <w:r w:rsidRPr="003D54EF">
              <w:rPr>
                <w:rFonts w:ascii="Aptos" w:hAnsi="Aptos" w:cs="Arial"/>
                <w:iCs/>
                <w:sz w:val="20"/>
                <w:szCs w:val="20"/>
              </w:rPr>
              <w:t xml:space="preserve">Collectively, evidence from BLASTn, VICTOR, VIRIDIC, VipTree, TerL and MCP phylogenies, together with comparative genome organization and the taxonomic delimitation criteria described above, support the establishment of the novel genus </w:t>
            </w:r>
            <w:r w:rsidR="00690EA0" w:rsidRPr="00690EA0">
              <w:rPr>
                <w:rFonts w:ascii="Aptos" w:hAnsi="Aptos" w:cs="Arial"/>
                <w:i/>
                <w:sz w:val="20"/>
                <w:szCs w:val="20"/>
              </w:rPr>
              <w:t>Hyrcaniavirus</w:t>
            </w:r>
            <w:r w:rsidRPr="003D54EF">
              <w:rPr>
                <w:rFonts w:ascii="Aptos" w:hAnsi="Aptos" w:cs="Arial"/>
                <w:iCs/>
                <w:sz w:val="20"/>
                <w:szCs w:val="20"/>
              </w:rPr>
              <w:t xml:space="preserve"> within the family Hirszfeldviridae to accommodate the proposed species </w:t>
            </w:r>
            <w:r w:rsidR="00690EA0" w:rsidRPr="00690EA0">
              <w:rPr>
                <w:rFonts w:ascii="Aptos" w:hAnsi="Aptos" w:cs="Arial"/>
                <w:i/>
                <w:sz w:val="20"/>
                <w:szCs w:val="20"/>
              </w:rPr>
              <w:t>Hyrcaniavirus gorganense</w:t>
            </w:r>
            <w:r w:rsidR="00EC0D20">
              <w:rPr>
                <w:rFonts w:ascii="Aptos" w:hAnsi="Aptos" w:cs="Arial"/>
                <w:i/>
                <w:sz w:val="20"/>
                <w:szCs w:val="20"/>
              </w:rPr>
              <w:t>.</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3DCF12D2" w14:textId="391B17EB" w:rsidR="00AA3D3A" w:rsidRPr="00F146E9" w:rsidRDefault="00AA3D3A" w:rsidP="000A1844">
            <w:pPr>
              <w:pStyle w:val="EndNoteBibliography"/>
              <w:ind w:left="157" w:hanging="203"/>
              <w:rPr>
                <w:sz w:val="20"/>
                <w:szCs w:val="20"/>
              </w:rPr>
            </w:pPr>
            <w:r w:rsidRPr="00F146E9">
              <w:rPr>
                <w:rFonts w:ascii="Aptos" w:hAnsi="Aptos"/>
                <w:sz w:val="20"/>
                <w:szCs w:val="20"/>
              </w:rPr>
              <w:fldChar w:fldCharType="begin"/>
            </w:r>
            <w:r w:rsidRPr="00F146E9">
              <w:rPr>
                <w:rFonts w:ascii="Aptos" w:hAnsi="Aptos"/>
                <w:sz w:val="20"/>
                <w:szCs w:val="20"/>
              </w:rPr>
              <w:instrText xml:space="preserve"> ADDIN EN.REFLIST </w:instrText>
            </w:r>
            <w:r w:rsidRPr="00F146E9">
              <w:rPr>
                <w:rFonts w:ascii="Aptos" w:hAnsi="Aptos"/>
                <w:sz w:val="20"/>
                <w:szCs w:val="20"/>
              </w:rPr>
              <w:fldChar w:fldCharType="separate"/>
            </w:r>
            <w:r w:rsidRPr="00F146E9">
              <w:rPr>
                <w:sz w:val="20"/>
                <w:szCs w:val="20"/>
              </w:rPr>
              <w:t>1.Sayers EW, Beck J, Bolton EE, Bourexis D, Brister JR, Canese K, et al. Database</w:t>
            </w:r>
            <w:r w:rsidR="000A1844" w:rsidRPr="00F146E9">
              <w:rPr>
                <w:sz w:val="20"/>
                <w:szCs w:val="20"/>
              </w:rPr>
              <w:t xml:space="preserve"> </w:t>
            </w:r>
            <w:r w:rsidRPr="00F146E9">
              <w:rPr>
                <w:sz w:val="20"/>
                <w:szCs w:val="20"/>
              </w:rPr>
              <w:t>resources of the National Center for Biotechnology Information. Nucleic Acids Res. 2021;49(D1):D10-d7.</w:t>
            </w:r>
          </w:p>
          <w:p w14:paraId="4C11CAD2" w14:textId="0EE62E9A" w:rsidR="00AA3D3A" w:rsidRPr="00F146E9" w:rsidRDefault="00AA3D3A" w:rsidP="000A1844">
            <w:pPr>
              <w:pStyle w:val="EndNoteBibliography"/>
              <w:ind w:left="157" w:hanging="203"/>
              <w:rPr>
                <w:sz w:val="20"/>
                <w:szCs w:val="20"/>
              </w:rPr>
            </w:pPr>
            <w:r w:rsidRPr="00F146E9">
              <w:rPr>
                <w:sz w:val="20"/>
                <w:szCs w:val="20"/>
              </w:rPr>
              <w:t>2.Meier-Kolthoff JP, Göker M. VICTOR: genome-based phylogeny and classification of prokaryotic viruses. Bioinformatics. 2017;33(21):3396-404.</w:t>
            </w:r>
          </w:p>
          <w:p w14:paraId="619EAD88" w14:textId="5A41BF71" w:rsidR="00AA3D3A" w:rsidRPr="00F146E9" w:rsidRDefault="00AA3D3A" w:rsidP="000A1844">
            <w:pPr>
              <w:pStyle w:val="EndNoteBibliography"/>
              <w:ind w:left="157" w:hanging="203"/>
              <w:rPr>
                <w:sz w:val="20"/>
                <w:szCs w:val="20"/>
              </w:rPr>
            </w:pPr>
            <w:r w:rsidRPr="00F146E9">
              <w:rPr>
                <w:sz w:val="20"/>
                <w:szCs w:val="20"/>
              </w:rPr>
              <w:t>3.Moraru C, Varsani A, Kropinski AM. VIRIDIC-A Novel Tool to Calculate the</w:t>
            </w:r>
            <w:r w:rsidR="000A1844" w:rsidRPr="00F146E9">
              <w:rPr>
                <w:sz w:val="20"/>
                <w:szCs w:val="20"/>
              </w:rPr>
              <w:t xml:space="preserve"> </w:t>
            </w:r>
            <w:r w:rsidRPr="00F146E9">
              <w:rPr>
                <w:sz w:val="20"/>
                <w:szCs w:val="20"/>
              </w:rPr>
              <w:t>Intergenomic Similarities of Prokaryote-Infecting Viruses. Viruses. 2020;12(11).</w:t>
            </w:r>
          </w:p>
          <w:p w14:paraId="1F74330B" w14:textId="77777777" w:rsidR="00AA3D3A" w:rsidRPr="00F146E9" w:rsidRDefault="00AA3D3A" w:rsidP="000A1844">
            <w:pPr>
              <w:pStyle w:val="EndNoteBibliography"/>
              <w:ind w:left="157" w:hanging="203"/>
              <w:rPr>
                <w:sz w:val="20"/>
                <w:szCs w:val="20"/>
              </w:rPr>
            </w:pPr>
            <w:r w:rsidRPr="00F146E9">
              <w:rPr>
                <w:sz w:val="20"/>
                <w:szCs w:val="20"/>
              </w:rPr>
              <w:t>4.</w:t>
            </w:r>
            <w:r w:rsidRPr="00F146E9">
              <w:rPr>
                <w:sz w:val="20"/>
                <w:szCs w:val="20"/>
              </w:rPr>
              <w:tab/>
              <w:t>Nishimura Y, Yoshida T, Kuronishi M, Uehara H, Ogata H, Goto S. ViPTree: the viral proteomic tree server. Bioinformatics. 2017;33(15):2379-80.</w:t>
            </w:r>
          </w:p>
          <w:p w14:paraId="47D6F168" w14:textId="77777777" w:rsidR="00AA3D3A" w:rsidRPr="00F146E9" w:rsidRDefault="00AA3D3A" w:rsidP="000A1844">
            <w:pPr>
              <w:pStyle w:val="EndNoteBibliography"/>
              <w:ind w:left="157" w:hanging="203"/>
              <w:rPr>
                <w:sz w:val="20"/>
                <w:szCs w:val="20"/>
              </w:rPr>
            </w:pPr>
            <w:r w:rsidRPr="00F146E9">
              <w:rPr>
                <w:sz w:val="20"/>
                <w:szCs w:val="20"/>
              </w:rPr>
              <w:t>5.</w:t>
            </w:r>
            <w:r w:rsidRPr="00F146E9">
              <w:rPr>
                <w:sz w:val="20"/>
                <w:szCs w:val="20"/>
              </w:rPr>
              <w:tab/>
              <w:t>Gilchrist CLM, Chooi YH. clinker &amp; clustermap.js: automatic generation of gene cluster comparison figures. Bioinformatics. 2021;37(16):2473-5.</w:t>
            </w:r>
          </w:p>
          <w:p w14:paraId="1BF7F667" w14:textId="6BCBFF99" w:rsidR="00AA3D3A" w:rsidRPr="00F146E9" w:rsidRDefault="00AA3D3A" w:rsidP="000A1844">
            <w:pPr>
              <w:pStyle w:val="EndNoteBibliography"/>
              <w:ind w:left="157" w:hanging="203"/>
              <w:rPr>
                <w:sz w:val="20"/>
                <w:szCs w:val="20"/>
              </w:rPr>
            </w:pPr>
            <w:r w:rsidRPr="00F146E9">
              <w:rPr>
                <w:sz w:val="20"/>
                <w:szCs w:val="20"/>
              </w:rPr>
              <w:t>6.</w:t>
            </w:r>
            <w:r w:rsidR="000A1844" w:rsidRPr="00F146E9">
              <w:rPr>
                <w:sz w:val="20"/>
                <w:szCs w:val="20"/>
              </w:rPr>
              <w:t xml:space="preserve"> </w:t>
            </w:r>
            <w:r w:rsidRPr="00F146E9">
              <w:rPr>
                <w:sz w:val="20"/>
                <w:szCs w:val="20"/>
              </w:rPr>
              <w:t>Lemoine F, Correia D, Lefort V, Doppelt-Azeroual O, Mareuil F, Cohen-Boulakia S, Gascuel O. NGPhylogeny.fr: new generation phylogenetic services for non-specialists. Nucleic Acids Res. 2019;47(W1):W260-w5.</w:t>
            </w:r>
          </w:p>
          <w:p w14:paraId="12B49C2C" w14:textId="288A1C6E" w:rsidR="00AA3D3A" w:rsidRPr="00F146E9" w:rsidRDefault="00AA3D3A" w:rsidP="000A1844">
            <w:pPr>
              <w:pStyle w:val="EndNoteBibliography"/>
              <w:ind w:left="157" w:hanging="203"/>
              <w:rPr>
                <w:sz w:val="20"/>
                <w:szCs w:val="20"/>
              </w:rPr>
            </w:pPr>
            <w:r w:rsidRPr="00F146E9">
              <w:rPr>
                <w:sz w:val="20"/>
                <w:szCs w:val="20"/>
              </w:rPr>
              <w:t>7.Minh BQ, Schmidt HA, Chernomor O, Schrempf D, Woodhams MD, von Haeseler A,</w:t>
            </w:r>
            <w:r w:rsidR="000A1844" w:rsidRPr="00F146E9">
              <w:rPr>
                <w:sz w:val="20"/>
                <w:szCs w:val="20"/>
              </w:rPr>
              <w:t xml:space="preserve"> </w:t>
            </w:r>
            <w:r w:rsidRPr="00F146E9">
              <w:rPr>
                <w:sz w:val="20"/>
                <w:szCs w:val="20"/>
              </w:rPr>
              <w:t>Lanfear R. IQ-TREE 2: New Models and Efficient Methods for Phylogenetic Inference in the Genomic Era. Mol Biol Evol. 2020;37(5):1530-4.</w:t>
            </w:r>
          </w:p>
          <w:p w14:paraId="35D7F3CA" w14:textId="77777777" w:rsidR="00AA3D3A" w:rsidRPr="00F146E9" w:rsidRDefault="00AA3D3A" w:rsidP="000A1844">
            <w:pPr>
              <w:pStyle w:val="ListParagraph"/>
              <w:numPr>
                <w:ilvl w:val="0"/>
                <w:numId w:val="7"/>
              </w:numPr>
              <w:ind w:left="157" w:hanging="203"/>
              <w:rPr>
                <w:noProof/>
                <w:sz w:val="20"/>
                <w:szCs w:val="20"/>
              </w:rPr>
            </w:pPr>
            <w:r w:rsidRPr="00F146E9">
              <w:rPr>
                <w:noProof/>
                <w:sz w:val="20"/>
                <w:szCs w:val="20"/>
              </w:rPr>
              <w:t>Turner D, Kropinski AM, Adriaenssens EM. A Roadmap for Genome-Based Phage Taxonomy. Viruses. 2021 Mar 18;13(3):506. doi: 10.3390/v13030506. PMID: 33803862; PMCID: PMC8003253.</w:t>
            </w:r>
          </w:p>
          <w:p w14:paraId="38B061E0" w14:textId="77777777" w:rsidR="00AA3D3A" w:rsidRPr="00F146E9" w:rsidRDefault="00AA3D3A" w:rsidP="000A1844">
            <w:pPr>
              <w:pStyle w:val="EndNoteBibliography"/>
              <w:numPr>
                <w:ilvl w:val="0"/>
                <w:numId w:val="7"/>
              </w:numPr>
              <w:ind w:left="157" w:hanging="203"/>
              <w:rPr>
                <w:sz w:val="20"/>
                <w:szCs w:val="20"/>
              </w:rPr>
            </w:pPr>
            <w:r w:rsidRPr="00F146E9">
              <w:rPr>
                <w:sz w:val="20"/>
                <w:szCs w:val="20"/>
              </w:rPr>
              <w:t>Siddell SG, Walker PJ, Lefkowitz EJ, Mushegian AR, Dutilh BE, Harrach B, Harrison RL, Junglen S, Knowles NJ, Kropinski AM, Krupovic M, Kuhn JH, Nibert ML, Rubino L, Sabanadzovic S, Simmonds P, Varsani A, Zerbini FM, Davison AJ. Binomial nomenclature for virus species: a consultation. Arch Virol. 2020 Feb;165(2):519-525. doi: 10.1007/s00705-019-04477-6. Erratum in: Arch Virol. 2020 May;165(5):1263-1264. doi: 10.1007/s00705-020-04555-0. PMID: 31797129; PMCID: PMC7026202.</w:t>
            </w:r>
          </w:p>
          <w:p w14:paraId="61A7B1E1" w14:textId="77777777" w:rsidR="00AA3D3A" w:rsidRPr="00F146E9" w:rsidRDefault="00AA3D3A" w:rsidP="000A1844">
            <w:pPr>
              <w:pStyle w:val="EndNoteBibliography"/>
              <w:numPr>
                <w:ilvl w:val="0"/>
                <w:numId w:val="7"/>
              </w:numPr>
              <w:ind w:left="247" w:hanging="383"/>
              <w:rPr>
                <w:sz w:val="20"/>
                <w:szCs w:val="20"/>
              </w:rPr>
            </w:pPr>
            <w:r w:rsidRPr="00F146E9">
              <w:rPr>
                <w:sz w:val="20"/>
                <w:szCs w:val="20"/>
              </w:rPr>
              <w:t>International Committee on Taxonomy of Viruses (ICTV). Taxonomy Proposal id=202523058: Obolenskvirus  IME285. Approved ICTV Taxonomy Proposal. Available from: ICTV Approved Taxonomy Proposals.</w:t>
            </w:r>
          </w:p>
          <w:p w14:paraId="7D1B1CCD" w14:textId="391B17EB" w:rsidR="00207786" w:rsidRPr="00F266E4" w:rsidRDefault="00AA3D3A" w:rsidP="00AA3D3A">
            <w:pPr>
              <w:rPr>
                <w:sz w:val="20"/>
                <w:szCs w:val="20"/>
              </w:rPr>
            </w:pPr>
            <w:r w:rsidRPr="00F146E9">
              <w:rPr>
                <w:sz w:val="20"/>
                <w:szCs w:val="20"/>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D364BA5"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lastRenderedPageBreak/>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44DBB1D" w:rsidR="00FC2269" w:rsidRPr="002A490C" w:rsidRDefault="00FC2269" w:rsidP="005F790F">
            <w:pPr>
              <w:rPr>
                <w:rFonts w:ascii="Aptos" w:hAnsi="Aptos" w:cs="Arial"/>
                <w:bCs/>
                <w:sz w:val="20"/>
                <w:szCs w:val="20"/>
              </w:rPr>
            </w:pPr>
          </w:p>
        </w:tc>
        <w:tc>
          <w:tcPr>
            <w:tcW w:w="6663" w:type="dxa"/>
          </w:tcPr>
          <w:p w14:paraId="22F4B256" w14:textId="5B8E11CD" w:rsidR="00FC2269" w:rsidRPr="002A490C" w:rsidRDefault="00FC2269" w:rsidP="005F790F">
            <w:pPr>
              <w:rPr>
                <w:rFonts w:ascii="Aptos" w:hAnsi="Aptos" w:cs="Arial"/>
                <w:bCs/>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684B91F7" w14:textId="208F6062" w:rsidR="00FC2269" w:rsidRDefault="00FC2269" w:rsidP="00AE2DF7"/>
    <w:tbl>
      <w:tblPr>
        <w:tblStyle w:val="TableGrid"/>
        <w:tblW w:w="0" w:type="auto"/>
        <w:tblLook w:val="04A0" w:firstRow="1" w:lastRow="0" w:firstColumn="1" w:lastColumn="0" w:noHBand="0" w:noVBand="1"/>
      </w:tblPr>
      <w:tblGrid>
        <w:gridCol w:w="8926"/>
      </w:tblGrid>
      <w:tr w:rsidR="006C0F51" w14:paraId="4041B6A7" w14:textId="77777777" w:rsidTr="00CD58D8">
        <w:trPr>
          <w:trHeight w:val="395"/>
        </w:trPr>
        <w:tc>
          <w:tcPr>
            <w:tcW w:w="8926" w:type="dxa"/>
            <w:shd w:val="clear" w:color="auto" w:fill="F2F2F2" w:themeFill="background1" w:themeFillShade="F2"/>
          </w:tcPr>
          <w:p w14:paraId="39E278D1" w14:textId="429209B4"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D76108E" w14:textId="50A43D41" w:rsidR="00D30109" w:rsidRDefault="00FC2269" w:rsidP="00D30109">
      <w:pPr>
        <w:pStyle w:val="NormalWeb"/>
        <w:jc w:val="center"/>
        <w:rPr>
          <w:noProof/>
        </w:rPr>
      </w:pPr>
      <w:r w:rsidRPr="006C0F51">
        <w:rPr>
          <w:rFonts w:ascii="Aptos" w:hAnsi="Aptos" w:cs="Arial"/>
          <w:color w:val="808080" w:themeColor="background1" w:themeShade="80"/>
          <w:sz w:val="20"/>
        </w:rPr>
        <w:t>&lt;Start here&gt;</w:t>
      </w:r>
    </w:p>
    <w:p w14:paraId="424D5631" w14:textId="77777777" w:rsidR="004A292D" w:rsidRDefault="004A292D" w:rsidP="004A292D">
      <w:pPr>
        <w:rPr>
          <w:noProof/>
        </w:rPr>
      </w:pPr>
    </w:p>
    <w:p w14:paraId="08308A58" w14:textId="77777777" w:rsidR="00A079AA" w:rsidRPr="00A079AA" w:rsidRDefault="00A079AA" w:rsidP="00A079AA">
      <w:pPr>
        <w:ind w:left="-180" w:hanging="180"/>
        <w:rPr>
          <w:rFonts w:ascii="Aptos" w:hAnsi="Aptos"/>
          <w:sz w:val="22"/>
          <w:szCs w:val="22"/>
        </w:rPr>
      </w:pPr>
      <w:r w:rsidRPr="00A079AA">
        <w:rPr>
          <w:rFonts w:ascii="Aptos" w:hAnsi="Aptos"/>
          <w:b/>
          <w:bCs/>
        </w:rPr>
        <w:t>Table 1.</w:t>
      </w:r>
      <w:r w:rsidRPr="00A079AA">
        <w:rPr>
          <w:rFonts w:ascii="Aptos" w:hAnsi="Aptos"/>
        </w:rPr>
        <w:t xml:space="preserve">  </w:t>
      </w:r>
      <w:r w:rsidRPr="00A079AA">
        <w:rPr>
          <w:rFonts w:ascii="Aptos" w:hAnsi="Aptos"/>
          <w:sz w:val="22"/>
          <w:szCs w:val="22"/>
        </w:rPr>
        <w:t>Characteristics of the phages described in the proposal</w:t>
      </w:r>
    </w:p>
    <w:tbl>
      <w:tblPr>
        <w:tblStyle w:val="TableGrid"/>
        <w:tblW w:w="10093" w:type="dxa"/>
        <w:jc w:val="center"/>
        <w:tblLook w:val="04A0" w:firstRow="1" w:lastRow="0" w:firstColumn="1" w:lastColumn="0" w:noHBand="0" w:noVBand="1"/>
      </w:tblPr>
      <w:tblGrid>
        <w:gridCol w:w="1691"/>
        <w:gridCol w:w="1436"/>
        <w:gridCol w:w="1315"/>
        <w:gridCol w:w="1139"/>
        <w:gridCol w:w="1225"/>
        <w:gridCol w:w="1134"/>
        <w:gridCol w:w="1126"/>
        <w:gridCol w:w="1027"/>
      </w:tblGrid>
      <w:tr w:rsidR="00A079AA" w14:paraId="1D8F42C4" w14:textId="77777777" w:rsidTr="009F771B">
        <w:trPr>
          <w:trHeight w:val="573"/>
          <w:jc w:val="center"/>
        </w:trPr>
        <w:tc>
          <w:tcPr>
            <w:tcW w:w="1777" w:type="dxa"/>
            <w:vAlign w:val="center"/>
          </w:tcPr>
          <w:p w14:paraId="4937FFAD"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Phage name</w:t>
            </w:r>
          </w:p>
        </w:tc>
        <w:tc>
          <w:tcPr>
            <w:tcW w:w="1129" w:type="dxa"/>
            <w:vAlign w:val="center"/>
          </w:tcPr>
          <w:p w14:paraId="0458620C"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Host</w:t>
            </w:r>
          </w:p>
        </w:tc>
        <w:tc>
          <w:tcPr>
            <w:tcW w:w="1277" w:type="dxa"/>
            <w:vAlign w:val="center"/>
          </w:tcPr>
          <w:p w14:paraId="4DB623CD"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Morphotype</w:t>
            </w:r>
          </w:p>
        </w:tc>
        <w:tc>
          <w:tcPr>
            <w:tcW w:w="1190" w:type="dxa"/>
            <w:vAlign w:val="center"/>
          </w:tcPr>
          <w:p w14:paraId="5F884736"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Lifestyle</w:t>
            </w:r>
          </w:p>
        </w:tc>
        <w:tc>
          <w:tcPr>
            <w:tcW w:w="1211" w:type="dxa"/>
            <w:vAlign w:val="center"/>
          </w:tcPr>
          <w:p w14:paraId="0A20D75C"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Accession No.</w:t>
            </w:r>
          </w:p>
        </w:tc>
        <w:tc>
          <w:tcPr>
            <w:tcW w:w="1184" w:type="dxa"/>
            <w:vAlign w:val="center"/>
          </w:tcPr>
          <w:p w14:paraId="28F297C0"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Genome size</w:t>
            </w:r>
          </w:p>
        </w:tc>
        <w:tc>
          <w:tcPr>
            <w:tcW w:w="1178" w:type="dxa"/>
            <w:vAlign w:val="center"/>
          </w:tcPr>
          <w:p w14:paraId="7DB4647B"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No. proteins</w:t>
            </w:r>
          </w:p>
        </w:tc>
        <w:tc>
          <w:tcPr>
            <w:tcW w:w="1147" w:type="dxa"/>
            <w:vAlign w:val="center"/>
          </w:tcPr>
          <w:p w14:paraId="0C7FCAAF" w14:textId="77777777" w:rsidR="00A079AA" w:rsidRPr="009B1E68" w:rsidRDefault="00A079AA" w:rsidP="009F771B">
            <w:pPr>
              <w:jc w:val="center"/>
              <w:rPr>
                <w:rFonts w:ascii="Aptos" w:hAnsi="Aptos"/>
                <w:b/>
                <w:bCs/>
                <w:sz w:val="20"/>
                <w:szCs w:val="20"/>
              </w:rPr>
            </w:pPr>
            <w:r w:rsidRPr="009B1E68">
              <w:rPr>
                <w:rFonts w:ascii="Aptos" w:hAnsi="Aptos"/>
                <w:b/>
                <w:bCs/>
                <w:sz w:val="20"/>
                <w:szCs w:val="20"/>
              </w:rPr>
              <w:t>No. tRNA</w:t>
            </w:r>
          </w:p>
        </w:tc>
      </w:tr>
      <w:tr w:rsidR="00A079AA" w14:paraId="4F87A80E" w14:textId="77777777" w:rsidTr="009F771B">
        <w:trPr>
          <w:trHeight w:val="366"/>
          <w:jc w:val="center"/>
        </w:trPr>
        <w:tc>
          <w:tcPr>
            <w:tcW w:w="1777" w:type="dxa"/>
            <w:vAlign w:val="center"/>
          </w:tcPr>
          <w:p w14:paraId="1C010C9B" w14:textId="77777777" w:rsidR="00A079AA" w:rsidRDefault="00A079AA" w:rsidP="009F771B">
            <w:pPr>
              <w:jc w:val="center"/>
              <w:rPr>
                <w:rFonts w:ascii="Aptos" w:hAnsi="Aptos"/>
              </w:rPr>
            </w:pPr>
            <w:r w:rsidRPr="00B70044">
              <w:rPr>
                <w:rFonts w:ascii="Aptos" w:hAnsi="Aptos"/>
                <w:sz w:val="20"/>
                <w:szCs w:val="20"/>
              </w:rPr>
              <w:t>Acinetobacter phage Marjan1</w:t>
            </w:r>
          </w:p>
        </w:tc>
        <w:tc>
          <w:tcPr>
            <w:tcW w:w="1129" w:type="dxa"/>
            <w:vAlign w:val="center"/>
          </w:tcPr>
          <w:p w14:paraId="6F4D6102" w14:textId="77777777" w:rsidR="00A079AA" w:rsidRPr="00B70044" w:rsidRDefault="00A079AA" w:rsidP="009F771B">
            <w:pPr>
              <w:jc w:val="center"/>
              <w:rPr>
                <w:rFonts w:ascii="Aptos" w:hAnsi="Aptos"/>
                <w:i/>
                <w:iCs/>
              </w:rPr>
            </w:pPr>
            <w:r w:rsidRPr="00B70044">
              <w:rPr>
                <w:rFonts w:ascii="Aptos" w:hAnsi="Aptos"/>
                <w:i/>
                <w:iCs/>
                <w:sz w:val="20"/>
                <w:szCs w:val="20"/>
              </w:rPr>
              <w:t>Acinetobacter baumannii</w:t>
            </w:r>
          </w:p>
        </w:tc>
        <w:tc>
          <w:tcPr>
            <w:tcW w:w="1277" w:type="dxa"/>
            <w:vAlign w:val="center"/>
          </w:tcPr>
          <w:p w14:paraId="068F8D9B" w14:textId="77777777" w:rsidR="00A079AA" w:rsidRPr="00B70044" w:rsidRDefault="00A079AA" w:rsidP="009F771B">
            <w:pPr>
              <w:jc w:val="center"/>
              <w:rPr>
                <w:rFonts w:ascii="Aptos" w:hAnsi="Aptos"/>
                <w:sz w:val="20"/>
                <w:szCs w:val="20"/>
              </w:rPr>
            </w:pPr>
            <w:r w:rsidRPr="00B70044">
              <w:rPr>
                <w:rFonts w:ascii="Aptos" w:hAnsi="Aptos"/>
                <w:sz w:val="20"/>
                <w:szCs w:val="20"/>
              </w:rPr>
              <w:t>Siphovirus</w:t>
            </w:r>
          </w:p>
        </w:tc>
        <w:tc>
          <w:tcPr>
            <w:tcW w:w="1190" w:type="dxa"/>
            <w:vAlign w:val="center"/>
          </w:tcPr>
          <w:p w14:paraId="4C381ACC" w14:textId="77777777" w:rsidR="00A079AA" w:rsidRPr="00B70044" w:rsidRDefault="00A079AA" w:rsidP="009F771B">
            <w:pPr>
              <w:jc w:val="center"/>
              <w:rPr>
                <w:rFonts w:ascii="Aptos" w:hAnsi="Aptos"/>
                <w:sz w:val="20"/>
                <w:szCs w:val="20"/>
              </w:rPr>
            </w:pPr>
            <w:r w:rsidRPr="00B70044">
              <w:rPr>
                <w:rFonts w:ascii="Aptos" w:hAnsi="Aptos"/>
                <w:sz w:val="20"/>
                <w:szCs w:val="20"/>
              </w:rPr>
              <w:t>Lytic</w:t>
            </w:r>
          </w:p>
        </w:tc>
        <w:tc>
          <w:tcPr>
            <w:tcW w:w="1211" w:type="dxa"/>
            <w:vAlign w:val="center"/>
          </w:tcPr>
          <w:p w14:paraId="1F68D363" w14:textId="647197C2" w:rsidR="00A079AA" w:rsidRPr="00B70044" w:rsidRDefault="00A079AA" w:rsidP="009F771B">
            <w:pPr>
              <w:jc w:val="center"/>
              <w:rPr>
                <w:rFonts w:ascii="Aptos" w:hAnsi="Aptos"/>
                <w:sz w:val="20"/>
                <w:szCs w:val="20"/>
              </w:rPr>
            </w:pPr>
            <w:r w:rsidRPr="00B70044">
              <w:rPr>
                <w:rFonts w:ascii="Aptos" w:hAnsi="Aptos"/>
                <w:sz w:val="20"/>
                <w:szCs w:val="20"/>
              </w:rPr>
              <w:t>Pz459652</w:t>
            </w:r>
            <w:r w:rsidR="00310224">
              <w:rPr>
                <w:rFonts w:ascii="Aptos" w:hAnsi="Aptos"/>
                <w:sz w:val="20"/>
                <w:szCs w:val="20"/>
              </w:rPr>
              <w:t>.1</w:t>
            </w:r>
          </w:p>
        </w:tc>
        <w:tc>
          <w:tcPr>
            <w:tcW w:w="1184" w:type="dxa"/>
            <w:vAlign w:val="center"/>
          </w:tcPr>
          <w:p w14:paraId="13823730" w14:textId="77777777" w:rsidR="00A079AA" w:rsidRPr="00B70044" w:rsidRDefault="00A079AA" w:rsidP="009F771B">
            <w:pPr>
              <w:jc w:val="center"/>
              <w:rPr>
                <w:rFonts w:ascii="Aptos" w:hAnsi="Aptos"/>
                <w:sz w:val="20"/>
                <w:szCs w:val="20"/>
              </w:rPr>
            </w:pPr>
            <w:r w:rsidRPr="00B70044">
              <w:rPr>
                <w:rFonts w:ascii="Aptos" w:hAnsi="Aptos"/>
                <w:sz w:val="20"/>
                <w:szCs w:val="20"/>
              </w:rPr>
              <w:t>44957</w:t>
            </w:r>
          </w:p>
        </w:tc>
        <w:tc>
          <w:tcPr>
            <w:tcW w:w="1178" w:type="dxa"/>
            <w:vAlign w:val="center"/>
          </w:tcPr>
          <w:p w14:paraId="058BE516" w14:textId="77777777" w:rsidR="00A079AA" w:rsidRPr="00B70044" w:rsidRDefault="00A079AA" w:rsidP="009F771B">
            <w:pPr>
              <w:jc w:val="center"/>
              <w:rPr>
                <w:rFonts w:ascii="Aptos" w:hAnsi="Aptos"/>
                <w:sz w:val="20"/>
                <w:szCs w:val="20"/>
              </w:rPr>
            </w:pPr>
            <w:r w:rsidRPr="00B70044">
              <w:rPr>
                <w:rFonts w:ascii="Aptos" w:hAnsi="Aptos"/>
                <w:sz w:val="20"/>
                <w:szCs w:val="20"/>
              </w:rPr>
              <w:t>85</w:t>
            </w:r>
          </w:p>
        </w:tc>
        <w:tc>
          <w:tcPr>
            <w:tcW w:w="1147" w:type="dxa"/>
            <w:vAlign w:val="center"/>
          </w:tcPr>
          <w:p w14:paraId="62E03CC1" w14:textId="77777777" w:rsidR="00A079AA" w:rsidRPr="00B70044" w:rsidRDefault="00A079AA" w:rsidP="009F771B">
            <w:pPr>
              <w:jc w:val="center"/>
              <w:rPr>
                <w:rFonts w:ascii="Aptos" w:hAnsi="Aptos"/>
                <w:sz w:val="20"/>
                <w:szCs w:val="20"/>
              </w:rPr>
            </w:pPr>
            <w:r w:rsidRPr="00B70044">
              <w:rPr>
                <w:rFonts w:ascii="Aptos" w:hAnsi="Aptos"/>
                <w:sz w:val="20"/>
                <w:szCs w:val="20"/>
              </w:rPr>
              <w:t>0</w:t>
            </w:r>
          </w:p>
        </w:tc>
      </w:tr>
    </w:tbl>
    <w:p w14:paraId="001D3C9E" w14:textId="77777777" w:rsidR="00A079AA" w:rsidRDefault="00A079AA" w:rsidP="004A292D">
      <w:pPr>
        <w:rPr>
          <w:noProof/>
        </w:rPr>
      </w:pPr>
    </w:p>
    <w:p w14:paraId="4DC2E09A" w14:textId="1628AAF7" w:rsidR="00A079AA" w:rsidRDefault="00A079AA" w:rsidP="004A292D">
      <w:pPr>
        <w:rPr>
          <w:noProof/>
        </w:rPr>
      </w:pPr>
    </w:p>
    <w:p w14:paraId="57C840B6" w14:textId="77777777" w:rsidR="00A079AA" w:rsidRDefault="00A079AA" w:rsidP="004A292D">
      <w:pPr>
        <w:rPr>
          <w:noProof/>
        </w:rPr>
      </w:pPr>
    </w:p>
    <w:p w14:paraId="717A046E" w14:textId="492C077A" w:rsidR="00A079AA" w:rsidRDefault="00A079AA" w:rsidP="00A079AA">
      <w:pPr>
        <w:jc w:val="center"/>
        <w:rPr>
          <w:noProof/>
        </w:rPr>
      </w:pPr>
      <w:r>
        <w:rPr>
          <w:noProof/>
        </w:rPr>
        <w:drawing>
          <wp:inline distT="0" distB="0" distL="0" distR="0" wp14:anchorId="3927BCBF" wp14:editId="4480B4AB">
            <wp:extent cx="4652464" cy="3692769"/>
            <wp:effectExtent l="0" t="0" r="0" b="3175"/>
            <wp:docPr id="26262982" name="Picture 2626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4574" cy="3702381"/>
                    </a:xfrm>
                    <a:prstGeom prst="rect">
                      <a:avLst/>
                    </a:prstGeom>
                    <a:noFill/>
                    <a:ln>
                      <a:noFill/>
                    </a:ln>
                  </pic:spPr>
                </pic:pic>
              </a:graphicData>
            </a:graphic>
          </wp:inline>
        </w:drawing>
      </w:r>
    </w:p>
    <w:p w14:paraId="7ECA0ED0" w14:textId="77777777" w:rsidR="00A079AA" w:rsidRDefault="00A079AA" w:rsidP="004A292D">
      <w:pPr>
        <w:rPr>
          <w:noProof/>
          <w:rtl/>
        </w:rPr>
      </w:pPr>
    </w:p>
    <w:p w14:paraId="4430DEA5" w14:textId="00D38CCF" w:rsidR="004A292D" w:rsidRDefault="004A292D" w:rsidP="004A292D">
      <w:pPr>
        <w:tabs>
          <w:tab w:val="left" w:pos="1246"/>
        </w:tabs>
        <w:jc w:val="both"/>
        <w:rPr>
          <w:rtl/>
        </w:rPr>
      </w:pPr>
      <w:r w:rsidRPr="004A292D">
        <w:rPr>
          <w:b/>
          <w:bCs/>
        </w:rPr>
        <w:t>Figure 1.</w:t>
      </w:r>
      <w:r w:rsidRPr="004A292D">
        <w:t xml:space="preserve"> Transmission electron micrograph of Acinetobacter phage Marjan</w:t>
      </w:r>
      <w:r w:rsidR="003A24C7">
        <w:t>1</w:t>
      </w:r>
      <w:r w:rsidRPr="004A292D">
        <w:t xml:space="preserve">. </w:t>
      </w:r>
      <w:r w:rsidR="00247D92" w:rsidRPr="00247D92">
        <w:t xml:space="preserve">The virion displays an icosahedral head along with a contractile tail, which aligns with the morphological traits typical of the </w:t>
      </w:r>
      <w:r w:rsidR="00247D92" w:rsidRPr="00AF38F6">
        <w:rPr>
          <w:i/>
          <w:iCs/>
        </w:rPr>
        <w:t>Caudoviricetes</w:t>
      </w:r>
      <w:r w:rsidR="00247D92" w:rsidRPr="00247D92">
        <w:t xml:space="preserve"> class.</w:t>
      </w:r>
      <w:r w:rsidRPr="004A292D">
        <w:t xml:space="preserve"> Scale bar = </w:t>
      </w:r>
      <w:r>
        <w:rPr>
          <w:rFonts w:hint="cs"/>
          <w:rtl/>
        </w:rPr>
        <w:t>100</w:t>
      </w:r>
      <w:r w:rsidRPr="004A292D">
        <w:t xml:space="preserve"> nm.</w:t>
      </w:r>
    </w:p>
    <w:p w14:paraId="52FA51D5" w14:textId="77777777" w:rsidR="00DE303F" w:rsidRDefault="00DE303F" w:rsidP="004A292D">
      <w:pPr>
        <w:tabs>
          <w:tab w:val="left" w:pos="1246"/>
        </w:tabs>
        <w:jc w:val="both"/>
        <w:rPr>
          <w:rtl/>
        </w:rPr>
      </w:pPr>
    </w:p>
    <w:p w14:paraId="0274A574" w14:textId="77777777" w:rsidR="00DE303F" w:rsidRDefault="00DE303F" w:rsidP="004A292D">
      <w:pPr>
        <w:tabs>
          <w:tab w:val="left" w:pos="1246"/>
        </w:tabs>
        <w:jc w:val="both"/>
        <w:rPr>
          <w:rtl/>
        </w:rPr>
      </w:pPr>
    </w:p>
    <w:p w14:paraId="0FB6CE2F" w14:textId="590F413C" w:rsidR="00DE303F" w:rsidRPr="004A292D" w:rsidRDefault="00AF398D" w:rsidP="00DE303F">
      <w:pPr>
        <w:tabs>
          <w:tab w:val="left" w:pos="1246"/>
        </w:tabs>
        <w:jc w:val="center"/>
      </w:pPr>
      <w:r>
        <w:rPr>
          <w:noProof/>
        </w:rPr>
        <w:lastRenderedPageBreak/>
        <mc:AlternateContent>
          <mc:Choice Requires="wps">
            <w:drawing>
              <wp:anchor distT="0" distB="0" distL="114300" distR="114300" simplePos="0" relativeHeight="251658241" behindDoc="0" locked="0" layoutInCell="1" allowOverlap="1" wp14:anchorId="39468D4A" wp14:editId="61914712">
                <wp:simplePos x="0" y="0"/>
                <wp:positionH relativeFrom="column">
                  <wp:posOffset>1002226</wp:posOffset>
                </wp:positionH>
                <wp:positionV relativeFrom="paragraph">
                  <wp:posOffset>4957592</wp:posOffset>
                </wp:positionV>
                <wp:extent cx="1342292" cy="82062"/>
                <wp:effectExtent l="0" t="0" r="0" b="0"/>
                <wp:wrapNone/>
                <wp:docPr id="1760330598" name="Rectangle 2"/>
                <wp:cNvGraphicFramePr/>
                <a:graphic xmlns:a="http://schemas.openxmlformats.org/drawingml/2006/main">
                  <a:graphicData uri="http://schemas.microsoft.com/office/word/2010/wordprocessingShape">
                    <wps:wsp>
                      <wps:cNvSpPr/>
                      <wps:spPr>
                        <a:xfrm>
                          <a:off x="0" y="0"/>
                          <a:ext cx="1342292" cy="82062"/>
                        </a:xfrm>
                        <a:prstGeom prst="rect">
                          <a:avLst/>
                        </a:prstGeom>
                        <a:solidFill>
                          <a:srgbClr val="EE0000">
                            <a:alpha val="51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02F6D95" id="Rectangle 2" o:spid="_x0000_s1026" style="position:absolute;margin-left:78.9pt;margin-top:390.35pt;width:105.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" fillcolor="#e00" stroked="f" strokeweight="1pt">
                <v:fill opacity="33410f"/>
              </v:rect>
            </w:pict>
          </mc:Fallback>
        </mc:AlternateContent>
      </w:r>
      <w:r w:rsidR="00DE303F">
        <w:rPr>
          <w:noProof/>
        </w:rPr>
        <w:drawing>
          <wp:inline distT="0" distB="0" distL="0" distR="0" wp14:anchorId="3DCB886B" wp14:editId="7DEEBDD8">
            <wp:extent cx="5159603" cy="7532077"/>
            <wp:effectExtent l="0" t="0" r="3175" b="0"/>
            <wp:docPr id="360916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16674" name=""/>
                    <pic:cNvPicPr/>
                  </pic:nvPicPr>
                  <pic:blipFill rotWithShape="1">
                    <a:blip r:embed="rId11"/>
                    <a:srcRect l="37591" t="10745" r="38086" b="12931"/>
                    <a:stretch>
                      <a:fillRect/>
                    </a:stretch>
                  </pic:blipFill>
                  <pic:spPr bwMode="auto">
                    <a:xfrm>
                      <a:off x="0" y="0"/>
                      <a:ext cx="5159603" cy="7532077"/>
                    </a:xfrm>
                    <a:prstGeom prst="rect">
                      <a:avLst/>
                    </a:prstGeom>
                    <a:ln>
                      <a:noFill/>
                    </a:ln>
                    <a:extLst>
                      <a:ext uri="{53640926-AAD7-44D8-BBD7-CCE9431645EC}">
                        <a14:shadowObscured xmlns:a14="http://schemas.microsoft.com/office/drawing/2010/main"/>
                      </a:ext>
                    </a:extLst>
                  </pic:spPr>
                </pic:pic>
              </a:graphicData>
            </a:graphic>
          </wp:inline>
        </w:drawing>
      </w:r>
    </w:p>
    <w:p w14:paraId="00A78EF9" w14:textId="701F1460" w:rsidR="004124EB" w:rsidRPr="004124EB" w:rsidRDefault="005303AC" w:rsidP="004124EB">
      <w:pPr>
        <w:ind w:firstLine="720"/>
        <w:jc w:val="both"/>
        <w:rPr>
          <w:noProof/>
          <w:color w:val="000000" w:themeColor="text1"/>
        </w:rPr>
      </w:pPr>
      <w:r w:rsidRPr="005303AC">
        <w:rPr>
          <w:b/>
          <w:bCs/>
          <w:noProof/>
          <w:color w:val="000000" w:themeColor="text1"/>
        </w:rPr>
        <w:t>Figure 2.</w:t>
      </w:r>
      <w:r w:rsidRPr="005303AC">
        <w:rPr>
          <w:noProof/>
          <w:color w:val="000000" w:themeColor="text1"/>
        </w:rPr>
        <w:t xml:space="preserve"> The whole-genome phylogeny of Acinetobacter phage Marjan</w:t>
      </w:r>
      <w:r w:rsidR="003A24C7">
        <w:rPr>
          <w:noProof/>
          <w:color w:val="000000" w:themeColor="text1"/>
        </w:rPr>
        <w:t>1</w:t>
      </w:r>
      <w:r w:rsidRPr="005303AC">
        <w:rPr>
          <w:noProof/>
          <w:color w:val="000000" w:themeColor="text1"/>
        </w:rPr>
        <w:t xml:space="preserve"> and representative members of the family Hirszfeldviridae was inferred using the VICTOR pipeline, which is based on Genome-BLAST Distance Phylogeny (GBDP). Acinetobacter phage Marjan</w:t>
      </w:r>
      <w:r w:rsidR="003A24C7">
        <w:rPr>
          <w:noProof/>
          <w:color w:val="000000" w:themeColor="text1"/>
        </w:rPr>
        <w:t xml:space="preserve">1 </w:t>
      </w:r>
      <w:r w:rsidRPr="005303AC">
        <w:rPr>
          <w:noProof/>
          <w:color w:val="000000" w:themeColor="text1"/>
        </w:rPr>
        <w:t>(highlighted in red) establishes a distinct lineage within the family, with Acinetobacter phage Staunch-TS1 being its closest sister lineage. The lengths of the branches are proportional to genomic distances, and the support values for the branches are indicated at the respective nodes. Colored bars represent the proposed taxonomic classifications at the family, genus, and species levels.</w:t>
      </w:r>
    </w:p>
    <w:p w14:paraId="719050BF" w14:textId="2FAD5C42" w:rsidR="002D79D0" w:rsidRDefault="007F2C6C" w:rsidP="00A70AD7">
      <w:pPr>
        <w:rPr>
          <w:rFonts w:ascii="Aptos" w:hAnsi="Aptos"/>
          <w:rtl/>
        </w:rPr>
      </w:pPr>
      <w:r>
        <w:rPr>
          <w:rFonts w:ascii="Aptos" w:hAnsi="Aptos"/>
          <w:noProof/>
        </w:rPr>
        <w:lastRenderedPageBreak/>
        <w:drawing>
          <wp:anchor distT="0" distB="0" distL="114300" distR="114300" simplePos="0" relativeHeight="251658244" behindDoc="0" locked="0" layoutInCell="1" allowOverlap="1" wp14:anchorId="7A79209F" wp14:editId="34CD96AA">
            <wp:simplePos x="0" y="0"/>
            <wp:positionH relativeFrom="column">
              <wp:posOffset>4740910</wp:posOffset>
            </wp:positionH>
            <wp:positionV relativeFrom="paragraph">
              <wp:posOffset>1743710</wp:posOffset>
            </wp:positionV>
            <wp:extent cx="1828800" cy="4115435"/>
            <wp:effectExtent l="0" t="0" r="0" b="0"/>
            <wp:wrapThrough wrapText="bothSides">
              <wp:wrapPolygon edited="0">
                <wp:start x="0" y="0"/>
                <wp:lineTo x="0" y="21497"/>
                <wp:lineTo x="21375" y="21497"/>
                <wp:lineTo x="21375" y="0"/>
                <wp:lineTo x="0" y="0"/>
              </wp:wrapPolygon>
            </wp:wrapThrough>
            <wp:docPr id="5036733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4115435"/>
                    </a:xfrm>
                    <a:prstGeom prst="rect">
                      <a:avLst/>
                    </a:prstGeom>
                    <a:noFill/>
                  </pic:spPr>
                </pic:pic>
              </a:graphicData>
            </a:graphic>
            <wp14:sizeRelH relativeFrom="page">
              <wp14:pctWidth>0</wp14:pctWidth>
            </wp14:sizeRelH>
            <wp14:sizeRelV relativeFrom="page">
              <wp14:pctHeight>0</wp14:pctHeight>
            </wp14:sizeRelV>
          </wp:anchor>
        </w:drawing>
      </w:r>
      <w:r w:rsidR="00686C67">
        <w:rPr>
          <w:rFonts w:ascii="Aptos" w:hAnsi="Aptos"/>
          <w:noProof/>
        </w:rPr>
        <w:drawing>
          <wp:anchor distT="0" distB="0" distL="114300" distR="114300" simplePos="0" relativeHeight="251658243" behindDoc="1" locked="0" layoutInCell="1" allowOverlap="1" wp14:anchorId="158F2EF7" wp14:editId="0FAEBCF2">
            <wp:simplePos x="0" y="0"/>
            <wp:positionH relativeFrom="column">
              <wp:posOffset>-914400</wp:posOffset>
            </wp:positionH>
            <wp:positionV relativeFrom="paragraph">
              <wp:posOffset>139700</wp:posOffset>
            </wp:positionV>
            <wp:extent cx="6654800" cy="7033260"/>
            <wp:effectExtent l="0" t="0" r="0" b="0"/>
            <wp:wrapTight wrapText="bothSides">
              <wp:wrapPolygon edited="0">
                <wp:start x="0" y="0"/>
                <wp:lineTo x="0" y="21530"/>
                <wp:lineTo x="21518" y="21530"/>
                <wp:lineTo x="21518" y="0"/>
                <wp:lineTo x="0" y="0"/>
              </wp:wrapPolygon>
            </wp:wrapTight>
            <wp:docPr id="1060053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4800" cy="7033260"/>
                    </a:xfrm>
                    <a:prstGeom prst="rect">
                      <a:avLst/>
                    </a:prstGeom>
                    <a:noFill/>
                  </pic:spPr>
                </pic:pic>
              </a:graphicData>
            </a:graphic>
            <wp14:sizeRelH relativeFrom="page">
              <wp14:pctWidth>0</wp14:pctWidth>
            </wp14:sizeRelH>
            <wp14:sizeRelV relativeFrom="page">
              <wp14:pctHeight>0</wp14:pctHeight>
            </wp14:sizeRelV>
          </wp:anchor>
        </w:drawing>
      </w:r>
    </w:p>
    <w:p w14:paraId="28D1A063" w14:textId="37942A49" w:rsidR="00AE2DF7" w:rsidRPr="004736A9" w:rsidRDefault="009F3504" w:rsidP="00877BE0">
      <w:pPr>
        <w:jc w:val="both"/>
        <w:rPr>
          <w:b/>
          <w:bCs/>
          <w:rtl/>
        </w:rPr>
      </w:pPr>
      <w:r w:rsidRPr="004736A9">
        <w:rPr>
          <w:b/>
          <w:bCs/>
        </w:rPr>
        <w:t xml:space="preserve">Figure 3. </w:t>
      </w:r>
      <w:r w:rsidR="00877BE0" w:rsidRPr="004736A9">
        <w:rPr>
          <w:b/>
          <w:bCs/>
        </w:rPr>
        <w:t xml:space="preserve">VIRIDIC heat map: </w:t>
      </w:r>
      <w:r w:rsidR="00877BE0" w:rsidRPr="004736A9">
        <w:t xml:space="preserve">VIRIDIC (Virus Intergenomic Distance Calculator; </w:t>
      </w:r>
      <w:hyperlink r:id="rId14" w:history="1">
        <w:r w:rsidR="00877BE0" w:rsidRPr="004736A9">
          <w:rPr>
            <w:rStyle w:val="Hyperlink"/>
          </w:rPr>
          <w:t>http://rhea.icbm.uni-oldenburg.de/VIRIDIC/</w:t>
        </w:r>
      </w:hyperlink>
      <w:r w:rsidR="00877BE0" w:rsidRPr="004736A9">
        <w:t>). pairwise intergenomic similarity matrix was produced using VIRIDIC. The percentage of intergenomic similarities between Acinetobacter phage Marjan</w:t>
      </w:r>
      <w:r w:rsidR="00D807B1">
        <w:t>1</w:t>
      </w:r>
      <w:r w:rsidR="00877BE0" w:rsidRPr="004736A9">
        <w:t xml:space="preserve"> and representative closely related phages is presented based on the VIRIDIC genome-based comparison algorithm.</w:t>
      </w:r>
      <w:r w:rsidR="00CF0212" w:rsidRPr="00CF0212">
        <w:t xml:space="preserve"> Acinetobacter phage Marjan</w:t>
      </w:r>
      <w:r w:rsidR="003A24C7">
        <w:t xml:space="preserve">1 </w:t>
      </w:r>
      <w:r w:rsidR="00CF0212" w:rsidRPr="00CF0212">
        <w:t>(GenBank accession number PZ456952.1</w:t>
      </w:r>
      <w:r w:rsidR="00CF0212">
        <w:t>).</w:t>
      </w:r>
    </w:p>
    <w:p w14:paraId="3E753452" w14:textId="04242EFF" w:rsidR="00AE2DF7" w:rsidRDefault="00AE2DF7" w:rsidP="00AE2DF7">
      <w:pPr>
        <w:rPr>
          <w:rFonts w:ascii="Aptos" w:hAnsi="Aptos"/>
        </w:rPr>
      </w:pPr>
    </w:p>
    <w:p w14:paraId="429E7DC5" w14:textId="06BBC277" w:rsidR="004124EB" w:rsidRDefault="004124EB" w:rsidP="004124EB">
      <w:pPr>
        <w:rPr>
          <w:rFonts w:ascii="Aptos" w:hAnsi="Aptos"/>
        </w:rPr>
      </w:pPr>
    </w:p>
    <w:p w14:paraId="56FAF376" w14:textId="72F1C13D" w:rsidR="004124EB" w:rsidRDefault="00570FA1" w:rsidP="004124EB">
      <w:pPr>
        <w:rPr>
          <w:rFonts w:ascii="Aptos" w:hAnsi="Aptos"/>
        </w:rPr>
      </w:pPr>
      <w:r>
        <w:rPr>
          <w:rFonts w:ascii="Aptos" w:hAnsi="Aptos"/>
          <w:noProof/>
        </w:rPr>
        <mc:AlternateContent>
          <mc:Choice Requires="wps">
            <w:drawing>
              <wp:anchor distT="0" distB="0" distL="114300" distR="114300" simplePos="0" relativeHeight="251658242" behindDoc="0" locked="0" layoutInCell="1" allowOverlap="1" wp14:anchorId="5DB67000" wp14:editId="7289C409">
                <wp:simplePos x="0" y="0"/>
                <wp:positionH relativeFrom="column">
                  <wp:posOffset>3317875</wp:posOffset>
                </wp:positionH>
                <wp:positionV relativeFrom="paragraph">
                  <wp:posOffset>1423035</wp:posOffset>
                </wp:positionV>
                <wp:extent cx="1800225" cy="85725"/>
                <wp:effectExtent l="0" t="0" r="9525" b="9525"/>
                <wp:wrapNone/>
                <wp:docPr id="622364948" name="Rectangle 2"/>
                <wp:cNvGraphicFramePr/>
                <a:graphic xmlns:a="http://schemas.openxmlformats.org/drawingml/2006/main">
                  <a:graphicData uri="http://schemas.microsoft.com/office/word/2010/wordprocessingShape">
                    <wps:wsp>
                      <wps:cNvSpPr/>
                      <wps:spPr>
                        <a:xfrm>
                          <a:off x="0" y="0"/>
                          <a:ext cx="1800225" cy="85725"/>
                        </a:xfrm>
                        <a:prstGeom prst="rect">
                          <a:avLst/>
                        </a:prstGeom>
                        <a:solidFill>
                          <a:srgbClr val="4472C4">
                            <a:alpha val="41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29E4E6" id="Rectangle 2" o:spid="_x0000_s1026" style="position:absolute;margin-left:261.25pt;margin-top:112.05pt;width:141.75pt;height: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" fillcolor="#4472c4" stroked="f" strokeweight="1pt">
                <v:fill opacity="26985f"/>
              </v:rect>
            </w:pict>
          </mc:Fallback>
        </mc:AlternateContent>
      </w:r>
    </w:p>
    <w:p w14:paraId="636EC637" w14:textId="173F76B2" w:rsidR="00440A83" w:rsidRPr="00440A83" w:rsidRDefault="00440A83" w:rsidP="00440A83">
      <w:pPr>
        <w:rPr>
          <w:rFonts w:ascii="Aptos" w:hAnsi="Aptos"/>
        </w:rPr>
      </w:pPr>
      <w:r>
        <w:rPr>
          <w:b/>
          <w:noProof/>
        </w:rPr>
        <w:lastRenderedPageBreak/>
        <w:drawing>
          <wp:anchor distT="0" distB="0" distL="114300" distR="114300" simplePos="0" relativeHeight="251658245" behindDoc="0" locked="0" layoutInCell="1" allowOverlap="1" wp14:anchorId="49F21547" wp14:editId="72D60309">
            <wp:simplePos x="0" y="0"/>
            <wp:positionH relativeFrom="column">
              <wp:posOffset>-563880</wp:posOffset>
            </wp:positionH>
            <wp:positionV relativeFrom="paragraph">
              <wp:posOffset>4404360</wp:posOffset>
            </wp:positionV>
            <wp:extent cx="7037070" cy="3284220"/>
            <wp:effectExtent l="0" t="0" r="0" b="0"/>
            <wp:wrapSquare wrapText="bothSides"/>
            <wp:docPr id="17092854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37070" cy="3284220"/>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8246" behindDoc="0" locked="0" layoutInCell="1" allowOverlap="1" wp14:anchorId="455CA4DD" wp14:editId="151A9C2D">
            <wp:simplePos x="0" y="0"/>
            <wp:positionH relativeFrom="margin">
              <wp:posOffset>-624840</wp:posOffset>
            </wp:positionH>
            <wp:positionV relativeFrom="margin">
              <wp:posOffset>-76200</wp:posOffset>
            </wp:positionV>
            <wp:extent cx="7056120" cy="4422775"/>
            <wp:effectExtent l="0" t="0" r="0" b="0"/>
            <wp:wrapSquare wrapText="bothSides"/>
            <wp:docPr id="19508297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r="9684"/>
                    <a:stretch>
                      <a:fillRect/>
                    </a:stretch>
                  </pic:blipFill>
                  <pic:spPr bwMode="auto">
                    <a:xfrm>
                      <a:off x="0" y="0"/>
                      <a:ext cx="7056120" cy="4422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97763C" w14:textId="77777777" w:rsidR="00440A83" w:rsidRDefault="00440A83" w:rsidP="002F5CE9">
      <w:pPr>
        <w:jc w:val="both"/>
        <w:rPr>
          <w:b/>
        </w:rPr>
      </w:pPr>
    </w:p>
    <w:p w14:paraId="321D794C" w14:textId="737D959F" w:rsidR="002F5CE9" w:rsidRPr="004736A9" w:rsidRDefault="002F5CE9" w:rsidP="002F5CE9">
      <w:pPr>
        <w:jc w:val="both"/>
        <w:rPr>
          <w:rFonts w:eastAsia="Arial"/>
          <w:bCs/>
        </w:rPr>
      </w:pPr>
      <w:r w:rsidRPr="004736A9">
        <w:rPr>
          <w:b/>
        </w:rPr>
        <w:t xml:space="preserve">Figure 4. ViPTree analysis: </w:t>
      </w:r>
      <w:r w:rsidRPr="004736A9">
        <w:rPr>
          <w:bCs/>
        </w:rPr>
        <w:t>ViPTree analysis</w:t>
      </w:r>
      <w:r w:rsidRPr="004736A9">
        <w:rPr>
          <w:lang w:val="en-GB"/>
        </w:rPr>
        <w:t xml:space="preserve"> (</w:t>
      </w:r>
      <w:hyperlink r:id="rId17" w:history="1">
        <w:r w:rsidRPr="004736A9">
          <w:rPr>
            <w:rStyle w:val="Hyperlink"/>
            <w:rFonts w:eastAsia="Times"/>
            <w:lang w:val="en-GB"/>
          </w:rPr>
          <w:t>https://www.genome.jp/viptree/</w:t>
        </w:r>
      </w:hyperlink>
      <w:r w:rsidRPr="004736A9">
        <w:rPr>
          <w:lang w:val="en-GB"/>
        </w:rPr>
        <w:t xml:space="preserve">) is based upon Rohwer and Edwards (2002) Phage Proteomic Tree. The phage of interest </w:t>
      </w:r>
      <w:r w:rsidR="00454F75" w:rsidRPr="004736A9">
        <w:rPr>
          <w:lang w:val="en-GB"/>
        </w:rPr>
        <w:t>is</w:t>
      </w:r>
      <w:r w:rsidRPr="004736A9">
        <w:rPr>
          <w:lang w:val="en-GB"/>
        </w:rPr>
        <w:t xml:space="preserve"> </w:t>
      </w:r>
      <w:r w:rsidRPr="004736A9">
        <w:t xml:space="preserve">indicated with a </w:t>
      </w:r>
      <w:r w:rsidR="007B6757" w:rsidRPr="004736A9">
        <w:rPr>
          <w:b/>
          <w:bCs/>
          <w:color w:val="FF0000"/>
          <w:lang w:val="en-GB"/>
        </w:rPr>
        <w:t>red star</w:t>
      </w:r>
      <w:r w:rsidRPr="004736A9">
        <w:rPr>
          <w:lang w:val="en-GB"/>
        </w:rPr>
        <w:t xml:space="preserve">.  Current species in the </w:t>
      </w:r>
      <w:r w:rsidR="002C4B35" w:rsidRPr="004736A9">
        <w:rPr>
          <w:i/>
          <w:iCs/>
          <w:lang w:val="en-GB"/>
        </w:rPr>
        <w:t xml:space="preserve">Hirszfeldviridae </w:t>
      </w:r>
      <w:r w:rsidR="002C4B35" w:rsidRPr="004736A9">
        <w:rPr>
          <w:lang w:val="en-GB"/>
        </w:rPr>
        <w:t xml:space="preserve">family </w:t>
      </w:r>
      <w:r w:rsidRPr="004736A9">
        <w:rPr>
          <w:lang w:val="en-GB"/>
        </w:rPr>
        <w:t xml:space="preserve">are marked in </w:t>
      </w:r>
      <w:r w:rsidRPr="004736A9">
        <w:rPr>
          <w:b/>
          <w:bCs/>
          <w:color w:val="2F5496" w:themeColor="accent1" w:themeShade="BF"/>
          <w:lang w:val="en-GB"/>
        </w:rPr>
        <w:t xml:space="preserve">blue </w:t>
      </w:r>
      <w:r w:rsidR="00221B12" w:rsidRPr="004736A9">
        <w:rPr>
          <w:b/>
          <w:bCs/>
          <w:color w:val="2F5496" w:themeColor="accent1" w:themeShade="BF"/>
          <w:lang w:val="en-GB"/>
        </w:rPr>
        <w:t>highlight</w:t>
      </w:r>
      <w:r w:rsidRPr="004736A9">
        <w:rPr>
          <w:lang w:val="en-GB"/>
        </w:rPr>
        <w:t>.</w:t>
      </w:r>
    </w:p>
    <w:p w14:paraId="2FD34AB4" w14:textId="23C5F50E" w:rsidR="004124EB" w:rsidRDefault="004124EB" w:rsidP="004124EB">
      <w:pPr>
        <w:rPr>
          <w:rFonts w:ascii="Aptos" w:hAnsi="Aptos"/>
        </w:rPr>
      </w:pPr>
    </w:p>
    <w:p w14:paraId="0981D6DD" w14:textId="77777777" w:rsidR="00404F14" w:rsidRPr="00404F14" w:rsidRDefault="00404F14" w:rsidP="00404F14">
      <w:pPr>
        <w:rPr>
          <w:rFonts w:ascii="Aptos" w:hAnsi="Aptos"/>
        </w:rPr>
      </w:pPr>
    </w:p>
    <w:p w14:paraId="10CAF936" w14:textId="77777777" w:rsidR="00404F14" w:rsidRPr="00404F14" w:rsidRDefault="00404F14" w:rsidP="00404F14">
      <w:pPr>
        <w:rPr>
          <w:rFonts w:ascii="Aptos" w:hAnsi="Aptos"/>
        </w:rPr>
      </w:pPr>
    </w:p>
    <w:p w14:paraId="5B6242D1" w14:textId="41E7D568" w:rsidR="00404F14" w:rsidRPr="00404F14" w:rsidRDefault="00404F14" w:rsidP="00404F14">
      <w:pPr>
        <w:rPr>
          <w:rFonts w:ascii="Aptos" w:hAnsi="Aptos"/>
        </w:rPr>
      </w:pPr>
    </w:p>
    <w:p w14:paraId="7D01CF8B" w14:textId="7281E428" w:rsidR="00404F14" w:rsidRDefault="00404F14" w:rsidP="00404F14">
      <w:pPr>
        <w:rPr>
          <w:rFonts w:ascii="Aptos" w:hAnsi="Aptos"/>
        </w:rPr>
      </w:pPr>
    </w:p>
    <w:p w14:paraId="2860EE24" w14:textId="71F4B5F9" w:rsidR="00DA7592" w:rsidRDefault="003818E2" w:rsidP="003818E2">
      <w:pPr>
        <w:rPr>
          <w:rFonts w:ascii="Aptos" w:hAnsi="Aptos"/>
        </w:rPr>
      </w:pPr>
      <w:r>
        <w:rPr>
          <w:rFonts w:ascii="Aptos" w:hAnsi="Aptos"/>
          <w:noProof/>
        </w:rPr>
        <mc:AlternateContent>
          <mc:Choice Requires="wps">
            <w:drawing>
              <wp:anchor distT="0" distB="0" distL="114300" distR="114300" simplePos="0" relativeHeight="251658250" behindDoc="0" locked="0" layoutInCell="1" allowOverlap="1" wp14:anchorId="0FBCFAE2" wp14:editId="4B7AE923">
                <wp:simplePos x="0" y="0"/>
                <wp:positionH relativeFrom="column">
                  <wp:posOffset>-66040</wp:posOffset>
                </wp:positionH>
                <wp:positionV relativeFrom="paragraph">
                  <wp:posOffset>2962275</wp:posOffset>
                </wp:positionV>
                <wp:extent cx="914400" cy="187960"/>
                <wp:effectExtent l="0" t="0" r="6350" b="2540"/>
                <wp:wrapNone/>
                <wp:docPr id="1236276821"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5C250F78" w14:textId="2E3BA7BF"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Staunch-TS1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BCFAE2" id="_x0000_t202" coordsize="21600,21600" o:spt="202" path="m,l,21600r21600,l21600,xe">
                <v:stroke joinstyle="miter"/>
                <v:path gradientshapeok="t" o:connecttype="rect"/>
              </v:shapetype>
              <v:shape id="Text Box 17" o:spid="_x0000_s1026" type="#_x0000_t202" style="position:absolute;margin-left:-5.2pt;margin-top:233.25pt;width:1in;height:14.8pt;z-index:25165825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" fillcolor="window" stroked="f" strokeweight=".5pt">
                <v:textbox>
                  <w:txbxContent>
                    <w:p w14:paraId="5C250F78" w14:textId="2E3BA7BF"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Staunch-TS1</w:t>
                      </w:r>
                    </w:p>
                  </w:txbxContent>
                </v:textbox>
              </v:shape>
            </w:pict>
          </mc:Fallback>
        </mc:AlternateContent>
      </w:r>
      <w:r>
        <w:rPr>
          <w:rFonts w:ascii="Aptos" w:hAnsi="Aptos"/>
          <w:noProof/>
        </w:rPr>
        <mc:AlternateContent>
          <mc:Choice Requires="wps">
            <w:drawing>
              <wp:anchor distT="0" distB="0" distL="114300" distR="114300" simplePos="0" relativeHeight="251658251" behindDoc="0" locked="0" layoutInCell="1" allowOverlap="1" wp14:anchorId="024991DF" wp14:editId="1E213ABF">
                <wp:simplePos x="0" y="0"/>
                <wp:positionH relativeFrom="column">
                  <wp:posOffset>50800</wp:posOffset>
                </wp:positionH>
                <wp:positionV relativeFrom="paragraph">
                  <wp:posOffset>2418715</wp:posOffset>
                </wp:positionV>
                <wp:extent cx="914400" cy="187960"/>
                <wp:effectExtent l="0" t="0" r="8255" b="2540"/>
                <wp:wrapNone/>
                <wp:docPr id="1674405521"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7B131737" w14:textId="56605240" w:rsidR="00221B12" w:rsidRPr="00221B12" w:rsidRDefault="00221B12" w:rsidP="00221B12">
                            <w:pPr>
                              <w:rPr>
                                <w:sz w:val="10"/>
                                <w:szCs w:val="10"/>
                              </w:rPr>
                            </w:pPr>
                            <w:r w:rsidRPr="00221B12">
                              <w:rPr>
                                <w:sz w:val="10"/>
                                <w:szCs w:val="10"/>
                              </w:rPr>
                              <w:t xml:space="preserve">Acinetobacter phage </w:t>
                            </w:r>
                            <w:r w:rsidR="00AD6203">
                              <w:rPr>
                                <w:sz w:val="10"/>
                                <w:szCs w:val="10"/>
                              </w:rPr>
                              <w:t>Marjan1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4991DF" id="_x0000_s1027" type="#_x0000_t202" style="position:absolute;margin-left:4pt;margin-top:190.45pt;width:1in;height:14.8pt;z-index:25165825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" fillcolor="window" stroked="f" strokeweight=".5pt">
                <v:textbox>
                  <w:txbxContent>
                    <w:p w14:paraId="7B131737" w14:textId="56605240" w:rsidR="00221B12" w:rsidRPr="00221B12" w:rsidRDefault="00221B12" w:rsidP="00221B12">
                      <w:pPr>
                        <w:rPr>
                          <w:sz w:val="10"/>
                          <w:szCs w:val="10"/>
                        </w:rPr>
                      </w:pPr>
                      <w:r w:rsidRPr="00221B12">
                        <w:rPr>
                          <w:sz w:val="10"/>
                          <w:szCs w:val="10"/>
                        </w:rPr>
                        <w:t xml:space="preserve">Acinetobacter phage </w:t>
                      </w:r>
                      <w:r w:rsidR="00AD6203">
                        <w:rPr>
                          <w:sz w:val="10"/>
                          <w:szCs w:val="10"/>
                        </w:rPr>
                        <w:t>Marjan1</w:t>
                      </w:r>
                    </w:p>
                  </w:txbxContent>
                </v:textbox>
              </v:shape>
            </w:pict>
          </mc:Fallback>
        </mc:AlternateContent>
      </w:r>
      <w:r w:rsidR="00012F64">
        <w:rPr>
          <w:rFonts w:ascii="Aptos" w:hAnsi="Aptos"/>
          <w:noProof/>
        </w:rPr>
        <mc:AlternateContent>
          <mc:Choice Requires="wps">
            <w:drawing>
              <wp:anchor distT="0" distB="0" distL="114300" distR="114300" simplePos="0" relativeHeight="251658247" behindDoc="0" locked="0" layoutInCell="1" allowOverlap="1" wp14:anchorId="204D4D7D" wp14:editId="7F4CE2EF">
                <wp:simplePos x="0" y="0"/>
                <wp:positionH relativeFrom="column">
                  <wp:posOffset>-167640</wp:posOffset>
                </wp:positionH>
                <wp:positionV relativeFrom="paragraph">
                  <wp:posOffset>295275</wp:posOffset>
                </wp:positionV>
                <wp:extent cx="914400" cy="187960"/>
                <wp:effectExtent l="0" t="0" r="6350" b="2540"/>
                <wp:wrapNone/>
                <wp:docPr id="1593984945"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chemeClr val="lt1"/>
                        </a:solidFill>
                        <a:ln w="6350">
                          <a:noFill/>
                        </a:ln>
                      </wps:spPr>
                      <wps:txbx>
                        <w:txbxContent>
                          <w:p w14:paraId="0612CC1E" w14:textId="48FE9914" w:rsidR="00221B12" w:rsidRPr="00221B12" w:rsidRDefault="00221B12" w:rsidP="003818E2">
                            <w:pPr>
                              <w:jc w:val="center"/>
                              <w:rPr>
                                <w:sz w:val="10"/>
                                <w:szCs w:val="10"/>
                              </w:rPr>
                            </w:pPr>
                            <w:r w:rsidRPr="00221B12">
                              <w:rPr>
                                <w:sz w:val="10"/>
                                <w:szCs w:val="10"/>
                              </w:rPr>
                              <w:t>Acinetobacter phage MRABphi22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4D4D7D" id="_x0000_s1028" type="#_x0000_t202" style="position:absolute;margin-left:-13.2pt;margin-top:23.25pt;width:1in;height:14.8pt;z-index:25165824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" fillcolor="white [3201]" stroked="f" strokeweight=".5pt">
                <v:textbox>
                  <w:txbxContent>
                    <w:p w14:paraId="0612CC1E" w14:textId="48FE9914" w:rsidR="00221B12" w:rsidRPr="00221B12" w:rsidRDefault="00221B12" w:rsidP="003818E2">
                      <w:pPr>
                        <w:jc w:val="center"/>
                        <w:rPr>
                          <w:sz w:val="10"/>
                          <w:szCs w:val="10"/>
                        </w:rPr>
                      </w:pPr>
                      <w:r w:rsidRPr="00221B12">
                        <w:rPr>
                          <w:sz w:val="10"/>
                          <w:szCs w:val="10"/>
                        </w:rPr>
                        <w:t>Acinetobacter phage MRABphi22</w:t>
                      </w:r>
                    </w:p>
                  </w:txbxContent>
                </v:textbox>
              </v:shape>
            </w:pict>
          </mc:Fallback>
        </mc:AlternateContent>
      </w:r>
      <w:r w:rsidR="00AD6203">
        <w:rPr>
          <w:rFonts w:ascii="Aptos" w:hAnsi="Aptos"/>
          <w:noProof/>
        </w:rPr>
        <mc:AlternateContent>
          <mc:Choice Requires="wps">
            <w:drawing>
              <wp:anchor distT="0" distB="0" distL="114300" distR="114300" simplePos="0" relativeHeight="251658253" behindDoc="0" locked="0" layoutInCell="1" allowOverlap="1" wp14:anchorId="4076E30E" wp14:editId="1B26ECBF">
                <wp:simplePos x="0" y="0"/>
                <wp:positionH relativeFrom="column">
                  <wp:posOffset>-177800</wp:posOffset>
                </wp:positionH>
                <wp:positionV relativeFrom="paragraph">
                  <wp:posOffset>3366135</wp:posOffset>
                </wp:positionV>
                <wp:extent cx="914400" cy="187960"/>
                <wp:effectExtent l="0" t="0" r="6350" b="2540"/>
                <wp:wrapNone/>
                <wp:docPr id="1163716831"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0192FA69" w14:textId="06F94AFF" w:rsidR="00221B12" w:rsidRPr="00221B12" w:rsidRDefault="00221B12" w:rsidP="00221B12">
                            <w:pPr>
                              <w:rPr>
                                <w:sz w:val="10"/>
                                <w:szCs w:val="10"/>
                              </w:rPr>
                            </w:pPr>
                            <w:r w:rsidRPr="00221B12">
                              <w:rPr>
                                <w:sz w:val="10"/>
                                <w:szCs w:val="10"/>
                              </w:rPr>
                              <w:t>Acinetobacter phage</w:t>
                            </w:r>
                            <w:r w:rsidR="00AD6203">
                              <w:rPr>
                                <w:sz w:val="10"/>
                                <w:szCs w:val="10"/>
                              </w:rPr>
                              <w:t xml:space="preserve"> </w:t>
                            </w:r>
                            <w:r w:rsidR="00AD6203" w:rsidRPr="00AD6203">
                              <w:rPr>
                                <w:sz w:val="10"/>
                                <w:szCs w:val="10"/>
                              </w:rPr>
                              <w:t>vB_AbaM_fThrA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76E30E" id="_x0000_s1029" type="#_x0000_t202" style="position:absolute;margin-left:-14pt;margin-top:265.05pt;width:1in;height:14.8pt;z-index:25165825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" fillcolor="window" stroked="f" strokeweight=".5pt">
                <v:textbox>
                  <w:txbxContent>
                    <w:p w14:paraId="0192FA69" w14:textId="06F94AFF" w:rsidR="00221B12" w:rsidRPr="00221B12" w:rsidRDefault="00221B12" w:rsidP="00221B12">
                      <w:pPr>
                        <w:rPr>
                          <w:sz w:val="10"/>
                          <w:szCs w:val="10"/>
                        </w:rPr>
                      </w:pPr>
                      <w:r w:rsidRPr="00221B12">
                        <w:rPr>
                          <w:sz w:val="10"/>
                          <w:szCs w:val="10"/>
                        </w:rPr>
                        <w:t>Acinetobacter phage</w:t>
                      </w:r>
                      <w:r w:rsidR="00AD6203">
                        <w:rPr>
                          <w:sz w:val="10"/>
                          <w:szCs w:val="10"/>
                        </w:rPr>
                        <w:t xml:space="preserve"> </w:t>
                      </w:r>
                      <w:r w:rsidR="00AD6203" w:rsidRPr="00AD6203">
                        <w:rPr>
                          <w:sz w:val="10"/>
                          <w:szCs w:val="10"/>
                        </w:rPr>
                        <w:t>vB_AbaM_fThrA</w:t>
                      </w:r>
                    </w:p>
                  </w:txbxContent>
                </v:textbox>
              </v:shape>
            </w:pict>
          </mc:Fallback>
        </mc:AlternateContent>
      </w:r>
      <w:r w:rsidR="00AD6203">
        <w:rPr>
          <w:rFonts w:ascii="Aptos" w:hAnsi="Aptos"/>
          <w:noProof/>
        </w:rPr>
        <mc:AlternateContent>
          <mc:Choice Requires="wps">
            <w:drawing>
              <wp:anchor distT="0" distB="0" distL="114300" distR="114300" simplePos="0" relativeHeight="251658249" behindDoc="0" locked="0" layoutInCell="1" allowOverlap="1" wp14:anchorId="3ABEB06D" wp14:editId="043910BE">
                <wp:simplePos x="0" y="0"/>
                <wp:positionH relativeFrom="column">
                  <wp:posOffset>-168910</wp:posOffset>
                </wp:positionH>
                <wp:positionV relativeFrom="paragraph">
                  <wp:posOffset>1857375</wp:posOffset>
                </wp:positionV>
                <wp:extent cx="914400" cy="187960"/>
                <wp:effectExtent l="0" t="0" r="6350" b="2540"/>
                <wp:wrapNone/>
                <wp:docPr id="64629874"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7625D109" w14:textId="6B5CEA97"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vB_AbaM_ZC21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BEB06D" id="_x0000_s1030" type="#_x0000_t202" style="position:absolute;margin-left:-13.3pt;margin-top:146.25pt;width:1in;height:14.8pt;z-index:25165824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" fillcolor="window" stroked="f" strokeweight=".5pt">
                <v:textbox>
                  <w:txbxContent>
                    <w:p w14:paraId="7625D109" w14:textId="6B5CEA97"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vB_AbaM_ZC21</w:t>
                      </w:r>
                    </w:p>
                  </w:txbxContent>
                </v:textbox>
              </v:shape>
            </w:pict>
          </mc:Fallback>
        </mc:AlternateContent>
      </w:r>
      <w:r w:rsidR="00AD6203">
        <w:rPr>
          <w:rFonts w:ascii="Aptos" w:hAnsi="Aptos"/>
          <w:noProof/>
        </w:rPr>
        <mc:AlternateContent>
          <mc:Choice Requires="wps">
            <w:drawing>
              <wp:anchor distT="0" distB="0" distL="114300" distR="114300" simplePos="0" relativeHeight="251658252" behindDoc="0" locked="0" layoutInCell="1" allowOverlap="1" wp14:anchorId="2DF76111" wp14:editId="32E11AC3">
                <wp:simplePos x="0" y="0"/>
                <wp:positionH relativeFrom="column">
                  <wp:posOffset>-170180</wp:posOffset>
                </wp:positionH>
                <wp:positionV relativeFrom="paragraph">
                  <wp:posOffset>1323975</wp:posOffset>
                </wp:positionV>
                <wp:extent cx="914400" cy="187960"/>
                <wp:effectExtent l="0" t="0" r="6350" b="2540"/>
                <wp:wrapNone/>
                <wp:docPr id="1512246640"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5E53A74D" w14:textId="5C7B0EAF"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vB_AbaM_IME285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F76111" id="_x0000_s1031" type="#_x0000_t202" style="position:absolute;margin-left:-13.4pt;margin-top:104.25pt;width:1in;height:14.8pt;z-index:2516582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" fillcolor="window" stroked="f" strokeweight=".5pt">
                <v:textbox>
                  <w:txbxContent>
                    <w:p w14:paraId="5E53A74D" w14:textId="5C7B0EAF" w:rsidR="00221B12" w:rsidRPr="00221B12" w:rsidRDefault="00221B12" w:rsidP="00221B12">
                      <w:pPr>
                        <w:rPr>
                          <w:sz w:val="10"/>
                          <w:szCs w:val="10"/>
                        </w:rPr>
                      </w:pPr>
                      <w:r w:rsidRPr="00221B12">
                        <w:rPr>
                          <w:sz w:val="10"/>
                          <w:szCs w:val="10"/>
                        </w:rPr>
                        <w:t xml:space="preserve">Acinetobacter phage </w:t>
                      </w:r>
                      <w:r w:rsidR="00AD6203" w:rsidRPr="00AD6203">
                        <w:rPr>
                          <w:sz w:val="10"/>
                          <w:szCs w:val="10"/>
                        </w:rPr>
                        <w:t>vB_AbaM_IME285</w:t>
                      </w:r>
                    </w:p>
                  </w:txbxContent>
                </v:textbox>
              </v:shape>
            </w:pict>
          </mc:Fallback>
        </mc:AlternateContent>
      </w:r>
      <w:r w:rsidR="00AD6203">
        <w:rPr>
          <w:rFonts w:ascii="Aptos" w:hAnsi="Aptos"/>
          <w:noProof/>
        </w:rPr>
        <mc:AlternateContent>
          <mc:Choice Requires="wps">
            <w:drawing>
              <wp:anchor distT="0" distB="0" distL="114300" distR="114300" simplePos="0" relativeHeight="251658248" behindDoc="0" locked="0" layoutInCell="1" allowOverlap="1" wp14:anchorId="324B8184" wp14:editId="0D1218CA">
                <wp:simplePos x="0" y="0"/>
                <wp:positionH relativeFrom="column">
                  <wp:posOffset>0</wp:posOffset>
                </wp:positionH>
                <wp:positionV relativeFrom="paragraph">
                  <wp:posOffset>813435</wp:posOffset>
                </wp:positionV>
                <wp:extent cx="914400" cy="187960"/>
                <wp:effectExtent l="0" t="0" r="6350" b="2540"/>
                <wp:wrapNone/>
                <wp:docPr id="845404014" name="Text Box 17"/>
                <wp:cNvGraphicFramePr/>
                <a:graphic xmlns:a="http://schemas.openxmlformats.org/drawingml/2006/main">
                  <a:graphicData uri="http://schemas.microsoft.com/office/word/2010/wordprocessingShape">
                    <wps:wsp>
                      <wps:cNvSpPr txBox="1"/>
                      <wps:spPr>
                        <a:xfrm>
                          <a:off x="0" y="0"/>
                          <a:ext cx="914400" cy="187960"/>
                        </a:xfrm>
                        <a:prstGeom prst="rect">
                          <a:avLst/>
                        </a:prstGeom>
                        <a:solidFill>
                          <a:sysClr val="window" lastClr="FFFFFF"/>
                        </a:solidFill>
                        <a:ln w="6350">
                          <a:noFill/>
                        </a:ln>
                      </wps:spPr>
                      <wps:txbx>
                        <w:txbxContent>
                          <w:p w14:paraId="66D54ED4" w14:textId="7236CFB9" w:rsidR="00221B12" w:rsidRPr="00221B12" w:rsidRDefault="00221B12" w:rsidP="003818E2">
                            <w:pPr>
                              <w:rPr>
                                <w:sz w:val="10"/>
                                <w:szCs w:val="10"/>
                              </w:rPr>
                            </w:pPr>
                            <w:r w:rsidRPr="00221B12">
                              <w:rPr>
                                <w:sz w:val="10"/>
                                <w:szCs w:val="10"/>
                              </w:rPr>
                              <w:t xml:space="preserve">Acinetobacter phage </w:t>
                            </w:r>
                            <w:r w:rsidR="00AD6203">
                              <w:rPr>
                                <w:sz w:val="10"/>
                                <w:szCs w:val="10"/>
                              </w:rPr>
                              <w:t>Arbor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4B8184" id="_x0000_s1032" type="#_x0000_t202" style="position:absolute;margin-left:0;margin-top:64.05pt;width:1in;height:14.8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" fillcolor="window" stroked="f" strokeweight=".5pt">
                <v:textbox>
                  <w:txbxContent>
                    <w:p w14:paraId="66D54ED4" w14:textId="7236CFB9" w:rsidR="00221B12" w:rsidRPr="00221B12" w:rsidRDefault="00221B12" w:rsidP="003818E2">
                      <w:pPr>
                        <w:rPr>
                          <w:sz w:val="10"/>
                          <w:szCs w:val="10"/>
                        </w:rPr>
                      </w:pPr>
                      <w:r w:rsidRPr="00221B12">
                        <w:rPr>
                          <w:sz w:val="10"/>
                          <w:szCs w:val="10"/>
                        </w:rPr>
                        <w:t xml:space="preserve">Acinetobacter phage </w:t>
                      </w:r>
                      <w:r w:rsidR="00AD6203">
                        <w:rPr>
                          <w:sz w:val="10"/>
                          <w:szCs w:val="10"/>
                        </w:rPr>
                        <w:t>Arbor</w:t>
                      </w:r>
                    </w:p>
                  </w:txbxContent>
                </v:textbox>
              </v:shape>
            </w:pict>
          </mc:Fallback>
        </mc:AlternateContent>
      </w:r>
      <w:r w:rsidR="00404F14">
        <w:rPr>
          <w:noProof/>
        </w:rPr>
        <w:drawing>
          <wp:inline distT="0" distB="0" distL="0" distR="0" wp14:anchorId="1269DA26" wp14:editId="6224ECD0">
            <wp:extent cx="6226340" cy="3947795"/>
            <wp:effectExtent l="0" t="0" r="3175" b="0"/>
            <wp:docPr id="650809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26340" cy="3947795"/>
                    </a:xfrm>
                    <a:prstGeom prst="rect">
                      <a:avLst/>
                    </a:prstGeom>
                    <a:noFill/>
                    <a:ln>
                      <a:noFill/>
                    </a:ln>
                  </pic:spPr>
                </pic:pic>
              </a:graphicData>
            </a:graphic>
          </wp:inline>
        </w:drawing>
      </w:r>
    </w:p>
    <w:p w14:paraId="163AA0F3" w14:textId="77777777" w:rsidR="000722AF" w:rsidRDefault="000722AF" w:rsidP="00404F14">
      <w:pPr>
        <w:rPr>
          <w:b/>
          <w:bCs/>
        </w:rPr>
      </w:pPr>
    </w:p>
    <w:p w14:paraId="0383733A" w14:textId="31013428" w:rsidR="0091512A" w:rsidRPr="0091512A" w:rsidRDefault="0091512A" w:rsidP="00404F14">
      <w:r w:rsidRPr="004736A9">
        <w:rPr>
          <w:b/>
          <w:bCs/>
        </w:rPr>
        <w:t>Figure 5.</w:t>
      </w:r>
      <w:r w:rsidRPr="0091512A">
        <w:t xml:space="preserve"> Comparative genome organization of Acinetobacter phage Marjan</w:t>
      </w:r>
      <w:r w:rsidR="003A24C7">
        <w:t>1</w:t>
      </w:r>
      <w:r w:rsidRPr="0091512A">
        <w:t xml:space="preserve"> and representative closely related phages generated using Clinker. Conserved homologous proteins are connected by shaded links, with shading intensity corresponding to amino acid sequence identity.</w:t>
      </w:r>
    </w:p>
    <w:p w14:paraId="3A3D2723" w14:textId="77777777" w:rsidR="0091512A" w:rsidRDefault="0091512A" w:rsidP="00404F14">
      <w:pPr>
        <w:rPr>
          <w:rFonts w:ascii="Aptos" w:hAnsi="Aptos"/>
        </w:rPr>
      </w:pPr>
    </w:p>
    <w:p w14:paraId="58FCBEC8" w14:textId="77777777" w:rsidR="0091512A" w:rsidRDefault="0091512A" w:rsidP="00404F14">
      <w:pPr>
        <w:rPr>
          <w:rFonts w:ascii="Aptos" w:hAnsi="Aptos"/>
        </w:rPr>
      </w:pPr>
    </w:p>
    <w:p w14:paraId="29D89848" w14:textId="77777777" w:rsidR="00CD58D8" w:rsidRDefault="00CD58D8" w:rsidP="00404F14">
      <w:pPr>
        <w:rPr>
          <w:rFonts w:ascii="Aptos" w:hAnsi="Aptos"/>
        </w:rPr>
      </w:pPr>
    </w:p>
    <w:p w14:paraId="20149961" w14:textId="77777777" w:rsidR="00CD58D8" w:rsidRDefault="00CD58D8" w:rsidP="00404F14">
      <w:pPr>
        <w:rPr>
          <w:rFonts w:ascii="Aptos" w:hAnsi="Aptos"/>
        </w:rPr>
      </w:pPr>
    </w:p>
    <w:p w14:paraId="0F2C7C15" w14:textId="77777777" w:rsidR="00CD58D8" w:rsidRDefault="00CD58D8" w:rsidP="00404F14">
      <w:pPr>
        <w:rPr>
          <w:rFonts w:ascii="Aptos" w:hAnsi="Aptos"/>
        </w:rPr>
      </w:pPr>
    </w:p>
    <w:p w14:paraId="0EDB55FC" w14:textId="77777777" w:rsidR="00CD58D8" w:rsidRDefault="00CD58D8" w:rsidP="00404F14">
      <w:pPr>
        <w:rPr>
          <w:rFonts w:ascii="Aptos" w:hAnsi="Aptos"/>
        </w:rPr>
      </w:pPr>
    </w:p>
    <w:p w14:paraId="7E45A15D" w14:textId="77777777" w:rsidR="00CD58D8" w:rsidRDefault="00CD58D8" w:rsidP="00404F14">
      <w:pPr>
        <w:rPr>
          <w:rFonts w:ascii="Aptos" w:hAnsi="Aptos"/>
        </w:rPr>
      </w:pPr>
    </w:p>
    <w:p w14:paraId="1EBEBA81" w14:textId="77777777" w:rsidR="00CD58D8" w:rsidRDefault="00CD58D8" w:rsidP="00404F14">
      <w:pPr>
        <w:rPr>
          <w:rFonts w:ascii="Aptos" w:hAnsi="Aptos"/>
        </w:rPr>
      </w:pPr>
    </w:p>
    <w:p w14:paraId="730F89F8" w14:textId="77777777" w:rsidR="00CD58D8" w:rsidRDefault="00CD58D8" w:rsidP="00404F14">
      <w:pPr>
        <w:rPr>
          <w:rFonts w:ascii="Aptos" w:hAnsi="Aptos"/>
        </w:rPr>
      </w:pPr>
    </w:p>
    <w:p w14:paraId="72F3BECD" w14:textId="77777777" w:rsidR="00CD58D8" w:rsidRDefault="00CD58D8" w:rsidP="00404F14">
      <w:pPr>
        <w:rPr>
          <w:rFonts w:ascii="Aptos" w:hAnsi="Aptos"/>
        </w:rPr>
      </w:pPr>
    </w:p>
    <w:p w14:paraId="6D9FE8EF" w14:textId="77777777" w:rsidR="00CD58D8" w:rsidRDefault="00CD58D8" w:rsidP="00404F14">
      <w:pPr>
        <w:rPr>
          <w:rFonts w:ascii="Aptos" w:hAnsi="Aptos"/>
        </w:rPr>
      </w:pPr>
    </w:p>
    <w:p w14:paraId="730C9A37" w14:textId="77777777" w:rsidR="00CD58D8" w:rsidRDefault="00CD58D8" w:rsidP="00404F14">
      <w:pPr>
        <w:rPr>
          <w:rFonts w:ascii="Aptos" w:hAnsi="Aptos"/>
        </w:rPr>
      </w:pPr>
    </w:p>
    <w:p w14:paraId="21D869EC" w14:textId="77777777" w:rsidR="00CD58D8" w:rsidRDefault="00CD58D8" w:rsidP="00404F14">
      <w:pPr>
        <w:rPr>
          <w:rFonts w:ascii="Aptos" w:hAnsi="Aptos"/>
        </w:rPr>
      </w:pPr>
    </w:p>
    <w:p w14:paraId="643A327B" w14:textId="77777777" w:rsidR="000722AF" w:rsidRDefault="000722AF" w:rsidP="00404F14">
      <w:pPr>
        <w:rPr>
          <w:rFonts w:ascii="Aptos" w:hAnsi="Aptos"/>
        </w:rPr>
      </w:pPr>
    </w:p>
    <w:p w14:paraId="117E6835" w14:textId="77777777" w:rsidR="000722AF" w:rsidRDefault="000722AF" w:rsidP="00404F14">
      <w:pPr>
        <w:rPr>
          <w:rFonts w:ascii="Aptos" w:hAnsi="Aptos"/>
        </w:rPr>
      </w:pPr>
    </w:p>
    <w:p w14:paraId="2A4CE4FE" w14:textId="77777777" w:rsidR="000722AF" w:rsidRDefault="000722AF" w:rsidP="00404F14">
      <w:pPr>
        <w:rPr>
          <w:rFonts w:ascii="Aptos" w:hAnsi="Aptos"/>
        </w:rPr>
      </w:pPr>
    </w:p>
    <w:p w14:paraId="2121DA2B" w14:textId="77777777" w:rsidR="000722AF" w:rsidRDefault="000722AF" w:rsidP="00404F14">
      <w:pPr>
        <w:rPr>
          <w:rFonts w:ascii="Aptos" w:hAnsi="Aptos"/>
        </w:rPr>
      </w:pPr>
    </w:p>
    <w:p w14:paraId="71877A8D" w14:textId="77777777" w:rsidR="000722AF" w:rsidRDefault="000722AF" w:rsidP="00404F14">
      <w:pPr>
        <w:rPr>
          <w:rFonts w:ascii="Aptos" w:hAnsi="Aptos"/>
        </w:rPr>
      </w:pPr>
    </w:p>
    <w:p w14:paraId="34222235" w14:textId="77777777" w:rsidR="000722AF" w:rsidRDefault="000722AF" w:rsidP="00404F14">
      <w:pPr>
        <w:rPr>
          <w:rFonts w:ascii="Aptos" w:hAnsi="Aptos"/>
        </w:rPr>
      </w:pPr>
    </w:p>
    <w:p w14:paraId="0670695D" w14:textId="77777777" w:rsidR="000722AF" w:rsidRDefault="000722AF" w:rsidP="00404F14">
      <w:pPr>
        <w:rPr>
          <w:rFonts w:ascii="Aptos" w:hAnsi="Aptos"/>
        </w:rPr>
      </w:pPr>
    </w:p>
    <w:p w14:paraId="4861DF2C" w14:textId="77777777" w:rsidR="000722AF" w:rsidRDefault="000722AF" w:rsidP="00404F14">
      <w:pPr>
        <w:rPr>
          <w:rFonts w:ascii="Aptos" w:hAnsi="Aptos"/>
        </w:rPr>
      </w:pPr>
    </w:p>
    <w:p w14:paraId="48E2B254" w14:textId="77777777" w:rsidR="000722AF" w:rsidRDefault="000722AF" w:rsidP="00404F14">
      <w:pPr>
        <w:rPr>
          <w:rFonts w:ascii="Aptos" w:hAnsi="Aptos"/>
        </w:rPr>
      </w:pPr>
    </w:p>
    <w:p w14:paraId="1EE16C6C" w14:textId="77777777" w:rsidR="000722AF" w:rsidRDefault="000722AF" w:rsidP="00404F14">
      <w:pPr>
        <w:rPr>
          <w:rFonts w:ascii="Aptos" w:hAnsi="Aptos"/>
        </w:rPr>
      </w:pPr>
    </w:p>
    <w:p w14:paraId="02080E76" w14:textId="77777777" w:rsidR="000722AF" w:rsidRDefault="000722AF" w:rsidP="00404F14">
      <w:pPr>
        <w:rPr>
          <w:rFonts w:ascii="Aptos" w:hAnsi="Aptos"/>
        </w:rPr>
      </w:pPr>
    </w:p>
    <w:p w14:paraId="4274563C" w14:textId="1AA42218" w:rsidR="00B977CB" w:rsidRDefault="00B977CB" w:rsidP="00B977CB">
      <w:pPr>
        <w:jc w:val="center"/>
        <w:rPr>
          <w:rFonts w:ascii="Aptos" w:hAnsi="Aptos"/>
        </w:rPr>
      </w:pPr>
      <w:r w:rsidRPr="00B977CB">
        <w:rPr>
          <w:rFonts w:ascii="Aptos" w:hAnsi="Aptos"/>
          <w:noProof/>
        </w:rPr>
        <w:drawing>
          <wp:inline distT="0" distB="0" distL="0" distR="0" wp14:anchorId="25BCA7FF" wp14:editId="299CB3DF">
            <wp:extent cx="5659303" cy="1993387"/>
            <wp:effectExtent l="0" t="0" r="0" b="6985"/>
            <wp:docPr id="8920670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604" t="6075" r="6365" b="17116"/>
                    <a:stretch>
                      <a:fillRect/>
                    </a:stretch>
                  </pic:blipFill>
                  <pic:spPr bwMode="auto">
                    <a:xfrm>
                      <a:off x="0" y="0"/>
                      <a:ext cx="5737615" cy="2020971"/>
                    </a:xfrm>
                    <a:prstGeom prst="rect">
                      <a:avLst/>
                    </a:prstGeom>
                    <a:noFill/>
                    <a:ln>
                      <a:noFill/>
                    </a:ln>
                    <a:extLst>
                      <a:ext uri="{53640926-AAD7-44D8-BBD7-CCE9431645EC}">
                        <a14:shadowObscured xmlns:a14="http://schemas.microsoft.com/office/drawing/2010/main"/>
                      </a:ext>
                    </a:extLst>
                  </pic:spPr>
                </pic:pic>
              </a:graphicData>
            </a:graphic>
          </wp:inline>
        </w:drawing>
      </w:r>
    </w:p>
    <w:p w14:paraId="1806D5B1" w14:textId="29D6A895" w:rsidR="0091512A" w:rsidRPr="0091512A" w:rsidRDefault="0091512A" w:rsidP="0091512A">
      <w:pPr>
        <w:rPr>
          <w:b/>
          <w:bCs/>
        </w:rPr>
      </w:pPr>
      <w:r>
        <w:rPr>
          <w:b/>
          <w:bCs/>
        </w:rPr>
        <w:t xml:space="preserve">Figure 6. </w:t>
      </w:r>
      <w:r w:rsidRPr="0091512A">
        <w:t>Phylogenetic tree inferred from the large terminase subunit (TerL) amino acid sequences of Acinetobacter phage Marjan</w:t>
      </w:r>
      <w:r w:rsidR="003A24C7">
        <w:t>1</w:t>
      </w:r>
      <w:r w:rsidRPr="0091512A">
        <w:t xml:space="preserve"> and representative related phages. Bootstrap support values are indicated at the corresponding nodes.</w:t>
      </w:r>
    </w:p>
    <w:p w14:paraId="69611091" w14:textId="5940A5F1" w:rsidR="00B977CB" w:rsidRDefault="00B977CB" w:rsidP="00404F14">
      <w:pPr>
        <w:rPr>
          <w:b/>
          <w:bCs/>
        </w:rPr>
      </w:pPr>
    </w:p>
    <w:p w14:paraId="26B362B2" w14:textId="77777777" w:rsidR="00C30A10" w:rsidRPr="00C30A10" w:rsidRDefault="00C30A10" w:rsidP="00404F14">
      <w:pPr>
        <w:rPr>
          <w:b/>
          <w:bCs/>
        </w:rPr>
      </w:pPr>
    </w:p>
    <w:p w14:paraId="0E82C6F3" w14:textId="77777777" w:rsidR="0091512A" w:rsidRDefault="0091512A" w:rsidP="00404F14">
      <w:pPr>
        <w:rPr>
          <w:b/>
          <w:bCs/>
        </w:rPr>
      </w:pPr>
    </w:p>
    <w:p w14:paraId="70FCBEDA" w14:textId="77777777" w:rsidR="0091512A" w:rsidRDefault="0091512A" w:rsidP="00404F14">
      <w:pPr>
        <w:rPr>
          <w:b/>
          <w:bCs/>
        </w:rPr>
      </w:pPr>
    </w:p>
    <w:p w14:paraId="511D3B33" w14:textId="77777777" w:rsidR="0091512A" w:rsidRPr="00C30A10" w:rsidRDefault="0091512A" w:rsidP="00404F14">
      <w:pPr>
        <w:rPr>
          <w:b/>
          <w:bCs/>
        </w:rPr>
      </w:pPr>
    </w:p>
    <w:p w14:paraId="3E965019" w14:textId="3D1A9F3B" w:rsidR="00B977CB" w:rsidRPr="00B977CB" w:rsidRDefault="00B977CB" w:rsidP="00C30A10">
      <w:pPr>
        <w:rPr>
          <w:rFonts w:ascii="Aptos" w:hAnsi="Aptos"/>
        </w:rPr>
      </w:pPr>
      <w:r w:rsidRPr="00B977CB">
        <w:rPr>
          <w:rFonts w:ascii="Aptos" w:hAnsi="Aptos"/>
          <w:noProof/>
        </w:rPr>
        <w:drawing>
          <wp:inline distT="0" distB="0" distL="0" distR="0" wp14:anchorId="365DDBBB" wp14:editId="57481B3B">
            <wp:extent cx="5926455" cy="1525319"/>
            <wp:effectExtent l="0" t="0" r="0" b="0"/>
            <wp:docPr id="3669005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6330" t="22823" r="26415" b="33296"/>
                    <a:stretch>
                      <a:fillRect/>
                    </a:stretch>
                  </pic:blipFill>
                  <pic:spPr bwMode="auto">
                    <a:xfrm>
                      <a:off x="0" y="0"/>
                      <a:ext cx="5926455" cy="1525319"/>
                    </a:xfrm>
                    <a:prstGeom prst="rect">
                      <a:avLst/>
                    </a:prstGeom>
                    <a:noFill/>
                    <a:ln>
                      <a:noFill/>
                    </a:ln>
                    <a:extLst>
                      <a:ext uri="{53640926-AAD7-44D8-BBD7-CCE9431645EC}">
                        <a14:shadowObscured xmlns:a14="http://schemas.microsoft.com/office/drawing/2010/main"/>
                      </a:ext>
                    </a:extLst>
                  </pic:spPr>
                </pic:pic>
              </a:graphicData>
            </a:graphic>
          </wp:inline>
        </w:drawing>
      </w:r>
    </w:p>
    <w:p w14:paraId="76B8EF8D" w14:textId="77777777" w:rsidR="008D2796" w:rsidRDefault="008D2796" w:rsidP="0091512A">
      <w:pPr>
        <w:rPr>
          <w:rFonts w:eastAsia="Calibri"/>
          <w:b/>
          <w:bCs/>
          <w:kern w:val="2"/>
          <w14:ligatures w14:val="standardContextual"/>
        </w:rPr>
      </w:pPr>
    </w:p>
    <w:p w14:paraId="1E837E2E" w14:textId="2B0E348C" w:rsidR="0091512A" w:rsidRPr="0091512A" w:rsidRDefault="0091512A" w:rsidP="0091512A">
      <w:pPr>
        <w:rPr>
          <w:rFonts w:eastAsia="Calibri"/>
          <w:b/>
          <w:bCs/>
          <w:kern w:val="2"/>
          <w14:ligatures w14:val="standardContextual"/>
        </w:rPr>
      </w:pPr>
      <w:r>
        <w:rPr>
          <w:rFonts w:eastAsia="Calibri"/>
          <w:b/>
          <w:bCs/>
          <w:kern w:val="2"/>
          <w14:ligatures w14:val="standardContextual"/>
        </w:rPr>
        <w:t xml:space="preserve">Figure 7. </w:t>
      </w:r>
      <w:r w:rsidRPr="0091512A">
        <w:rPr>
          <w:rFonts w:eastAsia="Calibri"/>
          <w:kern w:val="2"/>
          <w14:ligatures w14:val="standardContextual"/>
        </w:rPr>
        <w:t>Phylogenetic tree inferred from the major capsid protein (MCP) amino acid sequences of Acinetobacter phage Marjan</w:t>
      </w:r>
      <w:r w:rsidR="003A24C7">
        <w:rPr>
          <w:rFonts w:eastAsia="Calibri"/>
          <w:kern w:val="2"/>
          <w14:ligatures w14:val="standardContextual"/>
        </w:rPr>
        <w:t>1</w:t>
      </w:r>
      <w:r w:rsidRPr="0091512A">
        <w:rPr>
          <w:rFonts w:eastAsia="Calibri"/>
          <w:kern w:val="2"/>
          <w14:ligatures w14:val="standardContextual"/>
        </w:rPr>
        <w:t xml:space="preserve"> and representative related phages. Bootstrap support values are indicated at the corresponding nodes.</w:t>
      </w:r>
    </w:p>
    <w:p w14:paraId="4067A895" w14:textId="358C7BB6" w:rsidR="00404F14" w:rsidRPr="00404F14" w:rsidRDefault="00404F14" w:rsidP="00404F14">
      <w:pPr>
        <w:rPr>
          <w:rFonts w:ascii="Aptos" w:hAnsi="Aptos"/>
        </w:rPr>
      </w:pPr>
    </w:p>
    <w:p w14:paraId="1D775AC6" w14:textId="77777777" w:rsidR="00404F14" w:rsidRPr="00404F14" w:rsidRDefault="00404F14" w:rsidP="00404F14">
      <w:pPr>
        <w:rPr>
          <w:rFonts w:ascii="Aptos" w:hAnsi="Aptos"/>
        </w:rPr>
      </w:pPr>
    </w:p>
    <w:p w14:paraId="3716407B" w14:textId="77777777" w:rsidR="00404F14" w:rsidRPr="00404F14" w:rsidRDefault="00404F14" w:rsidP="00404F14">
      <w:pPr>
        <w:rPr>
          <w:rFonts w:ascii="Aptos" w:hAnsi="Aptos"/>
        </w:rPr>
      </w:pPr>
    </w:p>
    <w:p w14:paraId="00CDEBAB" w14:textId="77777777" w:rsidR="00404F14" w:rsidRPr="00404F14" w:rsidRDefault="00404F14" w:rsidP="00404F14">
      <w:pPr>
        <w:rPr>
          <w:rFonts w:ascii="Aptos" w:hAnsi="Aptos"/>
        </w:rPr>
      </w:pPr>
    </w:p>
    <w:p w14:paraId="368B2C2A" w14:textId="77777777" w:rsidR="00D477FB" w:rsidRDefault="00D477FB" w:rsidP="00404F14">
      <w:pPr>
        <w:rPr>
          <w:rFonts w:ascii="Aptos" w:hAnsi="Aptos"/>
        </w:rPr>
      </w:pPr>
    </w:p>
    <w:p w14:paraId="2EA954BD" w14:textId="77777777" w:rsidR="00D477FB" w:rsidRDefault="00D477FB" w:rsidP="00404F14">
      <w:pPr>
        <w:rPr>
          <w:rFonts w:ascii="Aptos" w:hAnsi="Aptos"/>
        </w:rPr>
      </w:pPr>
    </w:p>
    <w:p w14:paraId="277CD303" w14:textId="0E6BD91C" w:rsidR="00404F14" w:rsidRDefault="00404F14" w:rsidP="00D86944">
      <w:pPr>
        <w:rPr>
          <w:rFonts w:ascii="Aptos" w:hAnsi="Aptos"/>
        </w:rPr>
      </w:pPr>
    </w:p>
    <w:sectPr w:rsidR="00404F14" w:rsidSect="00A82FBB">
      <w:headerReference w:type="default" r:id="rId21"/>
      <w:footerReference w:type="defaul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25322" w14:textId="77777777" w:rsidR="00FD6526" w:rsidRDefault="00FD6526">
      <w:r>
        <w:separator/>
      </w:r>
    </w:p>
  </w:endnote>
  <w:endnote w:type="continuationSeparator" w:id="0">
    <w:p w14:paraId="59B61C67" w14:textId="77777777" w:rsidR="00FD6526" w:rsidRDefault="00FD6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60F3" w14:textId="77777777" w:rsidR="00FD6526" w:rsidRDefault="00FD6526">
      <w:r>
        <w:separator/>
      </w:r>
    </w:p>
  </w:footnote>
  <w:footnote w:type="continuationSeparator" w:id="0">
    <w:p w14:paraId="5A2C15B6" w14:textId="77777777" w:rsidR="00FD6526" w:rsidRDefault="00FD6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312"/>
    <w:multiLevelType w:val="hybridMultilevel"/>
    <w:tmpl w:val="1088A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593B9E"/>
    <w:multiLevelType w:val="hybridMultilevel"/>
    <w:tmpl w:val="9A82F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E168B"/>
    <w:multiLevelType w:val="hybridMultilevel"/>
    <w:tmpl w:val="ED58CE56"/>
    <w:lvl w:ilvl="0" w:tplc="6A6ACF1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4"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96964291">
    <w:abstractNumId w:val="3"/>
  </w:num>
  <w:num w:numId="2" w16cid:durableId="580287687">
    <w:abstractNumId w:val="6"/>
  </w:num>
  <w:num w:numId="3" w16cid:durableId="1400248593">
    <w:abstractNumId w:val="4"/>
  </w:num>
  <w:num w:numId="4" w16cid:durableId="799106768">
    <w:abstractNumId w:val="5"/>
  </w:num>
  <w:num w:numId="5" w16cid:durableId="259877959">
    <w:abstractNumId w:val="1"/>
  </w:num>
  <w:num w:numId="6" w16cid:durableId="1036006637">
    <w:abstractNumId w:val="0"/>
  </w:num>
  <w:num w:numId="7" w16cid:durableId="1147093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w29pexs9res9exef3pdaa1ewafr2r0z5vx&quot;&gt;My EndNote Library ICTV&lt;record-ids&gt;&lt;item&gt;1&lt;/item&gt;&lt;item&gt;2&lt;/item&gt;&lt;item&gt;3&lt;/item&gt;&lt;item&gt;4&lt;/item&gt;&lt;item&gt;5&lt;/item&gt;&lt;item&gt;6&lt;/item&gt;&lt;item&gt;7&lt;/item&gt;&lt;/record-ids&gt;&lt;/item&gt;&lt;/Libraries&gt;"/>
  </w:docVars>
  <w:rsids>
    <w:rsidRoot w:val="00A174CC"/>
    <w:rsid w:val="00012F64"/>
    <w:rsid w:val="00017BF9"/>
    <w:rsid w:val="00023385"/>
    <w:rsid w:val="00023E6A"/>
    <w:rsid w:val="00027A63"/>
    <w:rsid w:val="00035A87"/>
    <w:rsid w:val="000406E1"/>
    <w:rsid w:val="00040CB0"/>
    <w:rsid w:val="0004176B"/>
    <w:rsid w:val="000448F6"/>
    <w:rsid w:val="000449DB"/>
    <w:rsid w:val="0004618C"/>
    <w:rsid w:val="000722AF"/>
    <w:rsid w:val="0008012E"/>
    <w:rsid w:val="00090BA6"/>
    <w:rsid w:val="000A146A"/>
    <w:rsid w:val="000A1844"/>
    <w:rsid w:val="000A7027"/>
    <w:rsid w:val="000B1BF3"/>
    <w:rsid w:val="000B5D78"/>
    <w:rsid w:val="000B6878"/>
    <w:rsid w:val="000D182E"/>
    <w:rsid w:val="000D1D26"/>
    <w:rsid w:val="000E301B"/>
    <w:rsid w:val="000E54FF"/>
    <w:rsid w:val="000F51F4"/>
    <w:rsid w:val="000F6589"/>
    <w:rsid w:val="000F7067"/>
    <w:rsid w:val="00101EDB"/>
    <w:rsid w:val="001055BD"/>
    <w:rsid w:val="00106232"/>
    <w:rsid w:val="0011008F"/>
    <w:rsid w:val="00117C72"/>
    <w:rsid w:val="0013113D"/>
    <w:rsid w:val="001322FC"/>
    <w:rsid w:val="00147698"/>
    <w:rsid w:val="0016716E"/>
    <w:rsid w:val="00171083"/>
    <w:rsid w:val="00172351"/>
    <w:rsid w:val="00192476"/>
    <w:rsid w:val="00192BAE"/>
    <w:rsid w:val="00195FD7"/>
    <w:rsid w:val="001975F5"/>
    <w:rsid w:val="001977EE"/>
    <w:rsid w:val="001C2E06"/>
    <w:rsid w:val="001C337F"/>
    <w:rsid w:val="001D0007"/>
    <w:rsid w:val="001D2841"/>
    <w:rsid w:val="001D3E3E"/>
    <w:rsid w:val="001E7246"/>
    <w:rsid w:val="0020515A"/>
    <w:rsid w:val="00207786"/>
    <w:rsid w:val="0021337D"/>
    <w:rsid w:val="0021693C"/>
    <w:rsid w:val="00220A26"/>
    <w:rsid w:val="00221B12"/>
    <w:rsid w:val="002312CE"/>
    <w:rsid w:val="0023149A"/>
    <w:rsid w:val="0023696B"/>
    <w:rsid w:val="0024086E"/>
    <w:rsid w:val="00247D92"/>
    <w:rsid w:val="00253DC6"/>
    <w:rsid w:val="0025498B"/>
    <w:rsid w:val="002602C0"/>
    <w:rsid w:val="0027148A"/>
    <w:rsid w:val="00273642"/>
    <w:rsid w:val="002875B7"/>
    <w:rsid w:val="00291A73"/>
    <w:rsid w:val="00296DA3"/>
    <w:rsid w:val="00297C14"/>
    <w:rsid w:val="002A490C"/>
    <w:rsid w:val="002A5A83"/>
    <w:rsid w:val="002B61FD"/>
    <w:rsid w:val="002C4B35"/>
    <w:rsid w:val="002C6621"/>
    <w:rsid w:val="002D4340"/>
    <w:rsid w:val="002D6887"/>
    <w:rsid w:val="002D79D0"/>
    <w:rsid w:val="002F5CE9"/>
    <w:rsid w:val="00310224"/>
    <w:rsid w:val="00317EA6"/>
    <w:rsid w:val="00326743"/>
    <w:rsid w:val="00327E73"/>
    <w:rsid w:val="00333392"/>
    <w:rsid w:val="00344B77"/>
    <w:rsid w:val="00346047"/>
    <w:rsid w:val="00351A9E"/>
    <w:rsid w:val="00351FBC"/>
    <w:rsid w:val="00355CE0"/>
    <w:rsid w:val="0036145B"/>
    <w:rsid w:val="00363A30"/>
    <w:rsid w:val="0037243A"/>
    <w:rsid w:val="00374050"/>
    <w:rsid w:val="0037717F"/>
    <w:rsid w:val="003818E2"/>
    <w:rsid w:val="00382FE8"/>
    <w:rsid w:val="00383BBF"/>
    <w:rsid w:val="0038593F"/>
    <w:rsid w:val="003A166F"/>
    <w:rsid w:val="003A18C5"/>
    <w:rsid w:val="003A18EB"/>
    <w:rsid w:val="003A24C7"/>
    <w:rsid w:val="003A34B1"/>
    <w:rsid w:val="003A5ED7"/>
    <w:rsid w:val="003B0883"/>
    <w:rsid w:val="003B3832"/>
    <w:rsid w:val="003B3E3F"/>
    <w:rsid w:val="003C24D8"/>
    <w:rsid w:val="003C5428"/>
    <w:rsid w:val="003D54EF"/>
    <w:rsid w:val="003E0AEA"/>
    <w:rsid w:val="003F2A97"/>
    <w:rsid w:val="003F48AD"/>
    <w:rsid w:val="00404F14"/>
    <w:rsid w:val="00407874"/>
    <w:rsid w:val="004124EB"/>
    <w:rsid w:val="004126EE"/>
    <w:rsid w:val="00413EE0"/>
    <w:rsid w:val="00423FE5"/>
    <w:rsid w:val="0043110C"/>
    <w:rsid w:val="00437970"/>
    <w:rsid w:val="00440A83"/>
    <w:rsid w:val="00452909"/>
    <w:rsid w:val="00454F75"/>
    <w:rsid w:val="00455CC8"/>
    <w:rsid w:val="004611FA"/>
    <w:rsid w:val="00471256"/>
    <w:rsid w:val="004736A9"/>
    <w:rsid w:val="004742F1"/>
    <w:rsid w:val="00485696"/>
    <w:rsid w:val="004A292D"/>
    <w:rsid w:val="004B2564"/>
    <w:rsid w:val="004B2895"/>
    <w:rsid w:val="004B7922"/>
    <w:rsid w:val="004E0EFE"/>
    <w:rsid w:val="004E4CE4"/>
    <w:rsid w:val="004F2F1E"/>
    <w:rsid w:val="004F3196"/>
    <w:rsid w:val="004F37D9"/>
    <w:rsid w:val="00500B48"/>
    <w:rsid w:val="0051505E"/>
    <w:rsid w:val="00515703"/>
    <w:rsid w:val="005303AC"/>
    <w:rsid w:val="00536426"/>
    <w:rsid w:val="00536AA9"/>
    <w:rsid w:val="00543F86"/>
    <w:rsid w:val="0055461D"/>
    <w:rsid w:val="005546AA"/>
    <w:rsid w:val="005549E7"/>
    <w:rsid w:val="00554F41"/>
    <w:rsid w:val="00570B98"/>
    <w:rsid w:val="00570FA1"/>
    <w:rsid w:val="0058465A"/>
    <w:rsid w:val="00590DF3"/>
    <w:rsid w:val="005A54C3"/>
    <w:rsid w:val="005A70C9"/>
    <w:rsid w:val="005B4C7D"/>
    <w:rsid w:val="005E4945"/>
    <w:rsid w:val="006043FB"/>
    <w:rsid w:val="00606E13"/>
    <w:rsid w:val="00607227"/>
    <w:rsid w:val="006109F7"/>
    <w:rsid w:val="006271D5"/>
    <w:rsid w:val="00647814"/>
    <w:rsid w:val="00654622"/>
    <w:rsid w:val="0067795B"/>
    <w:rsid w:val="00683D0C"/>
    <w:rsid w:val="00686C67"/>
    <w:rsid w:val="00690EA0"/>
    <w:rsid w:val="0069192D"/>
    <w:rsid w:val="006B7AB8"/>
    <w:rsid w:val="006C0F51"/>
    <w:rsid w:val="006D18F6"/>
    <w:rsid w:val="006D428E"/>
    <w:rsid w:val="006F33B7"/>
    <w:rsid w:val="00723577"/>
    <w:rsid w:val="0072682D"/>
    <w:rsid w:val="007271F8"/>
    <w:rsid w:val="00732147"/>
    <w:rsid w:val="007351A4"/>
    <w:rsid w:val="00736440"/>
    <w:rsid w:val="00737875"/>
    <w:rsid w:val="00740A3F"/>
    <w:rsid w:val="00741880"/>
    <w:rsid w:val="00741D17"/>
    <w:rsid w:val="0075013B"/>
    <w:rsid w:val="0075486A"/>
    <w:rsid w:val="00760410"/>
    <w:rsid w:val="007729CB"/>
    <w:rsid w:val="007A52BA"/>
    <w:rsid w:val="007B0F70"/>
    <w:rsid w:val="007B6511"/>
    <w:rsid w:val="007B6757"/>
    <w:rsid w:val="007D33D1"/>
    <w:rsid w:val="007E0EF5"/>
    <w:rsid w:val="007E3FAE"/>
    <w:rsid w:val="007E667B"/>
    <w:rsid w:val="007F2C6C"/>
    <w:rsid w:val="00807AB4"/>
    <w:rsid w:val="00822B3A"/>
    <w:rsid w:val="00824208"/>
    <w:rsid w:val="008308A0"/>
    <w:rsid w:val="00840CD8"/>
    <w:rsid w:val="00852D43"/>
    <w:rsid w:val="00865726"/>
    <w:rsid w:val="00867A8C"/>
    <w:rsid w:val="00877BE0"/>
    <w:rsid w:val="008815EE"/>
    <w:rsid w:val="0088306C"/>
    <w:rsid w:val="00883A5C"/>
    <w:rsid w:val="0089184F"/>
    <w:rsid w:val="008A22E9"/>
    <w:rsid w:val="008B43B1"/>
    <w:rsid w:val="008B6DB3"/>
    <w:rsid w:val="008C288D"/>
    <w:rsid w:val="008C2DD0"/>
    <w:rsid w:val="008D2796"/>
    <w:rsid w:val="008F51E2"/>
    <w:rsid w:val="00901EBC"/>
    <w:rsid w:val="00903048"/>
    <w:rsid w:val="009078FF"/>
    <w:rsid w:val="00910E7B"/>
    <w:rsid w:val="0091512A"/>
    <w:rsid w:val="00932263"/>
    <w:rsid w:val="00932A07"/>
    <w:rsid w:val="009457C8"/>
    <w:rsid w:val="00953FFE"/>
    <w:rsid w:val="00964F7C"/>
    <w:rsid w:val="009703AF"/>
    <w:rsid w:val="00974174"/>
    <w:rsid w:val="009741D1"/>
    <w:rsid w:val="00974C28"/>
    <w:rsid w:val="00976E37"/>
    <w:rsid w:val="00996469"/>
    <w:rsid w:val="009A3B4A"/>
    <w:rsid w:val="009B1E68"/>
    <w:rsid w:val="009C32BB"/>
    <w:rsid w:val="009D6DB9"/>
    <w:rsid w:val="009E1696"/>
    <w:rsid w:val="009E4047"/>
    <w:rsid w:val="009F3504"/>
    <w:rsid w:val="009F7856"/>
    <w:rsid w:val="00A05B5F"/>
    <w:rsid w:val="00A079AA"/>
    <w:rsid w:val="00A10BA1"/>
    <w:rsid w:val="00A174CC"/>
    <w:rsid w:val="00A2357C"/>
    <w:rsid w:val="00A24A45"/>
    <w:rsid w:val="00A443CA"/>
    <w:rsid w:val="00A575CD"/>
    <w:rsid w:val="00A576A6"/>
    <w:rsid w:val="00A63825"/>
    <w:rsid w:val="00A65FD4"/>
    <w:rsid w:val="00A70AD7"/>
    <w:rsid w:val="00A71C40"/>
    <w:rsid w:val="00A749D7"/>
    <w:rsid w:val="00A77B8E"/>
    <w:rsid w:val="00A82735"/>
    <w:rsid w:val="00A82FBB"/>
    <w:rsid w:val="00AA3D3A"/>
    <w:rsid w:val="00AA4711"/>
    <w:rsid w:val="00AA7C34"/>
    <w:rsid w:val="00AD201A"/>
    <w:rsid w:val="00AD2884"/>
    <w:rsid w:val="00AD4048"/>
    <w:rsid w:val="00AD5A3A"/>
    <w:rsid w:val="00AD6203"/>
    <w:rsid w:val="00AD759B"/>
    <w:rsid w:val="00AE2DF7"/>
    <w:rsid w:val="00AE2E79"/>
    <w:rsid w:val="00AE528C"/>
    <w:rsid w:val="00AF38F6"/>
    <w:rsid w:val="00AF398D"/>
    <w:rsid w:val="00AF4998"/>
    <w:rsid w:val="00B03B7F"/>
    <w:rsid w:val="00B1187F"/>
    <w:rsid w:val="00B13640"/>
    <w:rsid w:val="00B13802"/>
    <w:rsid w:val="00B21BB0"/>
    <w:rsid w:val="00B32A89"/>
    <w:rsid w:val="00B35CC8"/>
    <w:rsid w:val="00B4233C"/>
    <w:rsid w:val="00B47589"/>
    <w:rsid w:val="00B70044"/>
    <w:rsid w:val="00B94646"/>
    <w:rsid w:val="00B977CB"/>
    <w:rsid w:val="00BA5B89"/>
    <w:rsid w:val="00BB19BA"/>
    <w:rsid w:val="00BC1C12"/>
    <w:rsid w:val="00BD6C0B"/>
    <w:rsid w:val="00BD7967"/>
    <w:rsid w:val="00BE4F5A"/>
    <w:rsid w:val="00C0213E"/>
    <w:rsid w:val="00C11470"/>
    <w:rsid w:val="00C122EF"/>
    <w:rsid w:val="00C249EC"/>
    <w:rsid w:val="00C30A10"/>
    <w:rsid w:val="00C321B1"/>
    <w:rsid w:val="00C43AFA"/>
    <w:rsid w:val="00C55633"/>
    <w:rsid w:val="00C7064E"/>
    <w:rsid w:val="00C8775F"/>
    <w:rsid w:val="00C95FB7"/>
    <w:rsid w:val="00CB4A76"/>
    <w:rsid w:val="00CD13D3"/>
    <w:rsid w:val="00CD2C82"/>
    <w:rsid w:val="00CD58D8"/>
    <w:rsid w:val="00CF0212"/>
    <w:rsid w:val="00CF59EA"/>
    <w:rsid w:val="00D03CC9"/>
    <w:rsid w:val="00D04287"/>
    <w:rsid w:val="00D062BE"/>
    <w:rsid w:val="00D06EEA"/>
    <w:rsid w:val="00D10857"/>
    <w:rsid w:val="00D13AD5"/>
    <w:rsid w:val="00D23567"/>
    <w:rsid w:val="00D30109"/>
    <w:rsid w:val="00D31DE3"/>
    <w:rsid w:val="00D46663"/>
    <w:rsid w:val="00D477FB"/>
    <w:rsid w:val="00D768A5"/>
    <w:rsid w:val="00D77D56"/>
    <w:rsid w:val="00D77E1C"/>
    <w:rsid w:val="00D807B1"/>
    <w:rsid w:val="00D86944"/>
    <w:rsid w:val="00DA7592"/>
    <w:rsid w:val="00DB602B"/>
    <w:rsid w:val="00DC1EC6"/>
    <w:rsid w:val="00DC5066"/>
    <w:rsid w:val="00DD1D4C"/>
    <w:rsid w:val="00DD58AA"/>
    <w:rsid w:val="00DE01F5"/>
    <w:rsid w:val="00DE303F"/>
    <w:rsid w:val="00DE566F"/>
    <w:rsid w:val="00E00313"/>
    <w:rsid w:val="00E0331D"/>
    <w:rsid w:val="00E034BE"/>
    <w:rsid w:val="00E16D0E"/>
    <w:rsid w:val="00E37077"/>
    <w:rsid w:val="00E40E43"/>
    <w:rsid w:val="00E50727"/>
    <w:rsid w:val="00E813D5"/>
    <w:rsid w:val="00E823B7"/>
    <w:rsid w:val="00E863D4"/>
    <w:rsid w:val="00E92794"/>
    <w:rsid w:val="00E94F14"/>
    <w:rsid w:val="00E969AE"/>
    <w:rsid w:val="00EB762F"/>
    <w:rsid w:val="00EC0D20"/>
    <w:rsid w:val="00EC6522"/>
    <w:rsid w:val="00ED4569"/>
    <w:rsid w:val="00EE484F"/>
    <w:rsid w:val="00EF2448"/>
    <w:rsid w:val="00EF44DF"/>
    <w:rsid w:val="00F055B7"/>
    <w:rsid w:val="00F110F7"/>
    <w:rsid w:val="00F1417B"/>
    <w:rsid w:val="00F146E9"/>
    <w:rsid w:val="00F14CF6"/>
    <w:rsid w:val="00F15C92"/>
    <w:rsid w:val="00F20BF5"/>
    <w:rsid w:val="00F21A5C"/>
    <w:rsid w:val="00F266E4"/>
    <w:rsid w:val="00F617D6"/>
    <w:rsid w:val="00F62692"/>
    <w:rsid w:val="00F651F9"/>
    <w:rsid w:val="00F711CE"/>
    <w:rsid w:val="00F74510"/>
    <w:rsid w:val="00F9028E"/>
    <w:rsid w:val="00F911F1"/>
    <w:rsid w:val="00F943F9"/>
    <w:rsid w:val="00FA1DC3"/>
    <w:rsid w:val="00FB1FE8"/>
    <w:rsid w:val="00FB300C"/>
    <w:rsid w:val="00FB585D"/>
    <w:rsid w:val="00FC12DD"/>
    <w:rsid w:val="00FC2269"/>
    <w:rsid w:val="00FC3558"/>
    <w:rsid w:val="00FD432C"/>
    <w:rsid w:val="00FD58E0"/>
    <w:rsid w:val="00FD6526"/>
    <w:rsid w:val="00FF4171"/>
    <w:rsid w:val="00FF51A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3E3F"/>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NormalWeb">
    <w:name w:val="Normal (Web)"/>
    <w:basedOn w:val="Normal"/>
    <w:uiPriority w:val="99"/>
    <w:unhideWhenUsed/>
    <w:rsid w:val="00D30109"/>
    <w:pPr>
      <w:spacing w:before="100" w:beforeAutospacing="1" w:after="100" w:afterAutospacing="1"/>
    </w:pPr>
  </w:style>
  <w:style w:type="paragraph" w:customStyle="1" w:styleId="EndNoteBibliographyTitle">
    <w:name w:val="EndNote Bibliography Title"/>
    <w:basedOn w:val="Normal"/>
    <w:link w:val="EndNoteBibliographyTitleChar"/>
    <w:rsid w:val="00D477FB"/>
    <w:pPr>
      <w:jc w:val="center"/>
    </w:pPr>
    <w:rPr>
      <w:noProof/>
    </w:rPr>
  </w:style>
  <w:style w:type="character" w:customStyle="1" w:styleId="EndNoteBibliographyTitleChar">
    <w:name w:val="EndNote Bibliography Title Char"/>
    <w:basedOn w:val="DefaultParagraphFont"/>
    <w:link w:val="EndNoteBibliographyTitle"/>
    <w:rsid w:val="00D477FB"/>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D477FB"/>
    <w:rPr>
      <w:noProof/>
    </w:rPr>
  </w:style>
  <w:style w:type="character" w:customStyle="1" w:styleId="EndNoteBibliographyChar">
    <w:name w:val="EndNote Bibliography Char"/>
    <w:basedOn w:val="DefaultParagraphFont"/>
    <w:link w:val="EndNoteBibliography"/>
    <w:rsid w:val="00D477FB"/>
    <w:rPr>
      <w:rFonts w:ascii="Times New Roman" w:eastAsia="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hyperlink" Target="http://rhea.icbm.uni-oldenburg.de/VIRIDIC/"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11</Pages>
  <Words>2733</Words>
  <Characters>15580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21</cp:revision>
  <dcterms:created xsi:type="dcterms:W3CDTF">2026-07-12T12:48:00Z</dcterms:created>
  <dcterms:modified xsi:type="dcterms:W3CDTF">2026-09-13T06:45:00Z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