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4BEF1993"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68A56ADD" w:rsidR="00E37077" w:rsidRPr="001D0007" w:rsidRDefault="00FC4DA2" w:rsidP="00DD58AA">
            <w:pPr>
              <w:rPr>
                <w:rFonts w:ascii="Aptos" w:hAnsi="Aptos" w:cs="Arial"/>
                <w:color w:val="000000" w:themeColor="text1"/>
                <w:sz w:val="20"/>
              </w:rPr>
            </w:pPr>
            <w:proofErr w:type="gramStart"/>
            <w:r>
              <w:rPr>
                <w:rFonts w:ascii="Aptos" w:hAnsi="Aptos" w:cs="Arial"/>
                <w:color w:val="000000" w:themeColor="text1"/>
                <w:sz w:val="20"/>
              </w:rPr>
              <w:t xml:space="preserve">To </w:t>
            </w:r>
            <w:r w:rsidR="00CE3B3F">
              <w:rPr>
                <w:rFonts w:ascii="Aptos" w:hAnsi="Aptos" w:cs="Arial"/>
                <w:color w:val="000000" w:themeColor="text1"/>
                <w:sz w:val="20"/>
              </w:rPr>
              <w:t>add</w:t>
            </w:r>
            <w:proofErr w:type="gramEnd"/>
            <w:r w:rsidR="00CE3B3F">
              <w:rPr>
                <w:rFonts w:ascii="Aptos" w:hAnsi="Aptos" w:cs="Arial"/>
                <w:color w:val="000000" w:themeColor="text1"/>
                <w:sz w:val="20"/>
              </w:rPr>
              <w:t xml:space="preserve"> </w:t>
            </w:r>
            <w:r w:rsidR="00CE3B3F" w:rsidRPr="006453B1">
              <w:rPr>
                <w:rFonts w:ascii="Aptos" w:hAnsi="Aptos" w:cs="Arial"/>
                <w:color w:val="000000" w:themeColor="text1"/>
                <w:sz w:val="20"/>
              </w:rPr>
              <w:t>one</w:t>
            </w:r>
            <w:r w:rsidR="006453B1" w:rsidRPr="006453B1">
              <w:rPr>
                <w:rFonts w:ascii="Aptos" w:hAnsi="Aptos" w:cs="Arial"/>
                <w:color w:val="000000" w:themeColor="text1"/>
                <w:sz w:val="20"/>
              </w:rPr>
              <w:t xml:space="preserve"> new </w:t>
            </w:r>
            <w:r>
              <w:rPr>
                <w:rFonts w:ascii="Aptos" w:hAnsi="Aptos" w:cs="Arial"/>
                <w:color w:val="000000" w:themeColor="text1"/>
                <w:sz w:val="20"/>
              </w:rPr>
              <w:t xml:space="preserve">species to the genus </w:t>
            </w:r>
            <w:r w:rsidRPr="00FC4DA2">
              <w:rPr>
                <w:rFonts w:ascii="Aptos" w:hAnsi="Aptos" w:cs="Arial"/>
                <w:i/>
                <w:iCs/>
                <w:color w:val="000000" w:themeColor="text1"/>
                <w:sz w:val="20"/>
              </w:rPr>
              <w:t>Plotvirus</w:t>
            </w:r>
            <w:r w:rsidR="006453B1" w:rsidRPr="006453B1">
              <w:rPr>
                <w:rFonts w:ascii="Aptos" w:hAnsi="Aptos" w:cs="Arial"/>
                <w:color w:val="000000" w:themeColor="text1"/>
                <w:sz w:val="20"/>
              </w:rPr>
              <w:t xml:space="preserve"> (</w:t>
            </w:r>
            <w:r w:rsidR="001B455D">
              <w:rPr>
                <w:rFonts w:ascii="Aptos" w:hAnsi="Aptos" w:cs="Arial"/>
                <w:color w:val="000000" w:themeColor="text1"/>
                <w:sz w:val="20"/>
              </w:rPr>
              <w:t xml:space="preserve">Class </w:t>
            </w:r>
            <w:r w:rsidR="006453B1" w:rsidRPr="001B455D">
              <w:rPr>
                <w:rFonts w:ascii="Aptos" w:hAnsi="Aptos" w:cs="Arial"/>
                <w:i/>
                <w:iCs/>
                <w:color w:val="000000" w:themeColor="text1"/>
                <w:sz w:val="20"/>
              </w:rPr>
              <w:t>Caudoviricetes</w:t>
            </w:r>
            <w:r w:rsidR="006453B1" w:rsidRPr="006453B1">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35143FD6" w:rsidR="00E37077" w:rsidRPr="005C4B53" w:rsidRDefault="005C4B53" w:rsidP="005C4B53">
            <w:pPr>
              <w:rPr>
                <w:rFonts w:ascii="Aptos Narrow" w:hAnsi="Aptos Narrow"/>
                <w:color w:val="000000"/>
                <w:sz w:val="22"/>
                <w:szCs w:val="22"/>
                <w:lang w:val="en-GB"/>
              </w:rPr>
            </w:pPr>
            <w:r>
              <w:rPr>
                <w:rFonts w:ascii="Aptos Narrow" w:hAnsi="Aptos Narrow"/>
                <w:color w:val="000000"/>
                <w:sz w:val="22"/>
                <w:szCs w:val="22"/>
              </w:rPr>
              <w:t>2025.062B.Plotvirus_1ns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00665496"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5D2ECB88"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0C7C680C"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3C69C169"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1B668FB3" w14:textId="2C6F00EF" w:rsidTr="00BD6C0B">
        <w:tc>
          <w:tcPr>
            <w:tcW w:w="1838" w:type="dxa"/>
            <w:vAlign w:val="center"/>
          </w:tcPr>
          <w:p w14:paraId="7C1B4F79" w14:textId="66735722" w:rsidR="006453B1" w:rsidRPr="00CD2C82" w:rsidRDefault="00CF1CA9" w:rsidP="006453B1">
            <w:pPr>
              <w:rPr>
                <w:rFonts w:ascii="Aptos" w:hAnsi="Aptos" w:cs="Arial"/>
                <w:bCs/>
                <w:color w:val="000000" w:themeColor="text1"/>
                <w:sz w:val="20"/>
                <w:szCs w:val="20"/>
              </w:rPr>
            </w:pPr>
            <w:r>
              <w:rPr>
                <w:rFonts w:ascii="Aptos" w:hAnsi="Aptos" w:cs="Arial"/>
                <w:bCs/>
                <w:color w:val="000000" w:themeColor="text1"/>
                <w:sz w:val="20"/>
                <w:szCs w:val="20"/>
              </w:rPr>
              <w:t xml:space="preserve">Ipek </w:t>
            </w:r>
          </w:p>
        </w:tc>
        <w:tc>
          <w:tcPr>
            <w:tcW w:w="1418" w:type="dxa"/>
            <w:vAlign w:val="center"/>
          </w:tcPr>
          <w:p w14:paraId="5E41446B" w14:textId="77CBD5BA"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Kurtböke</w:t>
            </w:r>
          </w:p>
        </w:tc>
        <w:tc>
          <w:tcPr>
            <w:tcW w:w="2835" w:type="dxa"/>
            <w:vAlign w:val="center"/>
          </w:tcPr>
          <w:p w14:paraId="3EC4C5A6" w14:textId="36B29B9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University of the Sunshine Coast - Faculty of Science, Health, Education and Engineering</w:t>
            </w:r>
            <w:r>
              <w:rPr>
                <w:rFonts w:ascii="Aptos" w:hAnsi="Aptos" w:cs="Arial"/>
                <w:bCs/>
                <w:color w:val="000000" w:themeColor="text1"/>
                <w:sz w:val="20"/>
                <w:szCs w:val="20"/>
              </w:rPr>
              <w:t>, Australia</w:t>
            </w:r>
          </w:p>
        </w:tc>
        <w:tc>
          <w:tcPr>
            <w:tcW w:w="2126" w:type="dxa"/>
            <w:vAlign w:val="center"/>
          </w:tcPr>
          <w:p w14:paraId="1DDF5257" w14:textId="46690FA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ikurtbok@usc.edu.au</w:t>
            </w: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135B7517"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44976903"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3D3A2130"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31E3D0E5"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2D4644C8" w:rsidR="0072682D" w:rsidRPr="000C5189" w:rsidRDefault="00CF1CA9" w:rsidP="00DD58AA">
            <w:pPr>
              <w:rPr>
                <w:rFonts w:ascii="Aptos" w:hAnsi="Aptos" w:cs="Arial"/>
                <w:sz w:val="20"/>
                <w:szCs w:val="20"/>
              </w:rPr>
            </w:pPr>
            <w:r>
              <w:rPr>
                <w:rFonts w:ascii="Aptos" w:hAnsi="Aptos" w:cs="Arial"/>
                <w:sz w:val="20"/>
                <w:szCs w:val="20"/>
              </w:rPr>
              <w:t>Actinophages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CDBFC5B"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1D7D1EF3"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07C631B"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28CB57A4"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0A3FD703"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3314A04F"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1E1AD468"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0222CF50"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4034EEFE"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205B8999"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35899194"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1961F06"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35741A8F"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F94E9E">
        <w:trPr>
          <w:trHeight w:val="890"/>
        </w:trPr>
        <w:tc>
          <w:tcPr>
            <w:tcW w:w="2547" w:type="dxa"/>
            <w:vAlign w:val="center"/>
          </w:tcPr>
          <w:p w14:paraId="2B4F2A8D" w14:textId="6EC7D716" w:rsidR="00333392" w:rsidRPr="001B455D" w:rsidRDefault="00FC4DA2" w:rsidP="00040CB0">
            <w:pPr>
              <w:jc w:val="both"/>
              <w:rPr>
                <w:rFonts w:ascii="Aptos" w:hAnsi="Aptos" w:cs="Arial"/>
                <w:bCs/>
                <w:color w:val="000000" w:themeColor="text1"/>
                <w:sz w:val="20"/>
                <w:szCs w:val="20"/>
              </w:rPr>
            </w:pPr>
            <w:r w:rsidRPr="001B455D">
              <w:rPr>
                <w:rFonts w:ascii="Aptos" w:hAnsi="Aptos" w:cs="Arial"/>
                <w:bCs/>
                <w:color w:val="000000" w:themeColor="text1"/>
                <w:sz w:val="20"/>
                <w:szCs w:val="20"/>
              </w:rPr>
              <w:t>Plotvirus</w:t>
            </w:r>
          </w:p>
        </w:tc>
        <w:tc>
          <w:tcPr>
            <w:tcW w:w="6379" w:type="dxa"/>
            <w:vAlign w:val="center"/>
          </w:tcPr>
          <w:p w14:paraId="5CCE7407" w14:textId="5C0CD1D4" w:rsidR="000C462F" w:rsidRPr="001B455D" w:rsidRDefault="00FC4DA2" w:rsidP="000C462F">
            <w:pPr>
              <w:jc w:val="both"/>
              <w:rPr>
                <w:rFonts w:ascii="Aptos" w:hAnsi="Aptos" w:cs="Arial"/>
                <w:bCs/>
                <w:color w:val="000000" w:themeColor="text1"/>
                <w:sz w:val="20"/>
                <w:szCs w:val="20"/>
              </w:rPr>
            </w:pPr>
            <w:r w:rsidRPr="001B455D">
              <w:rPr>
                <w:rFonts w:ascii="Aptos" w:hAnsi="Aptos" w:cs="Arial"/>
                <w:bCs/>
                <w:color w:val="000000" w:themeColor="text1"/>
                <w:sz w:val="20"/>
                <w:szCs w:val="20"/>
              </w:rPr>
              <w:t xml:space="preserve">See Taxonomy </w:t>
            </w:r>
            <w:proofErr w:type="gramStart"/>
            <w:r w:rsidRPr="001B455D">
              <w:rPr>
                <w:rFonts w:ascii="Aptos" w:hAnsi="Aptos" w:cs="Arial"/>
                <w:bCs/>
                <w:color w:val="000000" w:themeColor="text1"/>
                <w:sz w:val="20"/>
                <w:szCs w:val="20"/>
              </w:rPr>
              <w:t>Proposal  2017</w:t>
            </w:r>
            <w:proofErr w:type="gramEnd"/>
            <w:r w:rsidRPr="001B455D">
              <w:rPr>
                <w:rFonts w:ascii="Aptos" w:hAnsi="Aptos" w:cs="Arial"/>
                <w:bCs/>
                <w:color w:val="000000" w:themeColor="text1"/>
                <w:sz w:val="20"/>
                <w:szCs w:val="20"/>
              </w:rPr>
              <w:t>.</w:t>
            </w:r>
            <w:proofErr w:type="gramStart"/>
            <w:r w:rsidRPr="001B455D">
              <w:rPr>
                <w:rFonts w:ascii="Aptos" w:hAnsi="Aptos" w:cs="Arial"/>
                <w:bCs/>
                <w:color w:val="000000" w:themeColor="text1"/>
                <w:sz w:val="20"/>
                <w:szCs w:val="20"/>
              </w:rPr>
              <w:t>007B.A.v1.Dclasvirinae</w:t>
            </w:r>
            <w:proofErr w:type="gramEnd"/>
          </w:p>
          <w:p w14:paraId="17202B3B" w14:textId="431A2780" w:rsidR="00333392" w:rsidRPr="001B455D" w:rsidRDefault="00333392" w:rsidP="00A824BE">
            <w:pPr>
              <w:jc w:val="both"/>
              <w:rPr>
                <w:rFonts w:ascii="Aptos" w:hAnsi="Aptos" w:cs="Arial"/>
                <w:bCs/>
                <w:color w:val="000000" w:themeColor="text1"/>
                <w:sz w:val="20"/>
                <w:szCs w:val="20"/>
              </w:rPr>
            </w:pP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0881927B"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6DDD335A"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127B103E"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2DA96F1"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CF1CA9">
              <w:rPr>
                <w:rFonts w:ascii="Aptos" w:hAnsi="Aptos" w:cs="Arial"/>
                <w:sz w:val="20"/>
                <w:szCs w:val="20"/>
              </w:rPr>
              <w:t>species</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09336122" w14:textId="29AAE11B" w:rsidR="00A77B8E"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roofErr w:type="gramStart"/>
            <w:r w:rsidR="00FC4DA2" w:rsidRPr="00FC4DA2">
              <w:rPr>
                <w:rFonts w:ascii="Aptos" w:hAnsi="Aptos" w:cs="Arial"/>
                <w:sz w:val="20"/>
                <w:szCs w:val="20"/>
              </w:rPr>
              <w:t>2017.007B.A</w:t>
            </w:r>
            <w:proofErr w:type="gramEnd"/>
            <w:r w:rsidR="00FC4DA2" w:rsidRPr="00FC4DA2">
              <w:rPr>
                <w:rFonts w:ascii="Aptos" w:hAnsi="Aptos" w:cs="Arial"/>
                <w:sz w:val="20"/>
                <w:szCs w:val="20"/>
              </w:rPr>
              <w:t>.v</w:t>
            </w:r>
            <w:proofErr w:type="gramStart"/>
            <w:r w:rsidR="00FC4DA2" w:rsidRPr="00FC4DA2">
              <w:rPr>
                <w:rFonts w:ascii="Aptos" w:hAnsi="Aptos" w:cs="Arial"/>
                <w:sz w:val="20"/>
                <w:szCs w:val="20"/>
              </w:rPr>
              <w:t>1.Dclasvirinae</w:t>
            </w:r>
            <w:proofErr w:type="gramEnd"/>
          </w:p>
          <w:p w14:paraId="1321FC18" w14:textId="77777777" w:rsidR="00A77B8E" w:rsidRPr="00BE4F5A" w:rsidRDefault="00A77B8E" w:rsidP="00DD58AA">
            <w:pPr>
              <w:rPr>
                <w:rFonts w:ascii="Aptos" w:hAnsi="Aptos" w:cs="Arial"/>
                <w:sz w:val="20"/>
                <w:szCs w:val="20"/>
              </w:rPr>
            </w:pPr>
          </w:p>
          <w:p w14:paraId="19D0D4AD" w14:textId="795375A2"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EC2412">
              <w:rPr>
                <w:rFonts w:ascii="Aptos" w:hAnsi="Aptos" w:cs="Arial"/>
                <w:sz w:val="20"/>
                <w:szCs w:val="20"/>
              </w:rPr>
              <w:t xml:space="preserve">To create </w:t>
            </w:r>
            <w:r w:rsidR="00CF1CA9">
              <w:rPr>
                <w:rFonts w:ascii="Aptos" w:hAnsi="Aptos" w:cs="Arial"/>
                <w:sz w:val="20"/>
                <w:szCs w:val="20"/>
              </w:rPr>
              <w:t>one new</w:t>
            </w:r>
            <w:r w:rsidR="00A824BE">
              <w:rPr>
                <w:rFonts w:ascii="Aptos" w:hAnsi="Aptos" w:cs="Arial"/>
                <w:sz w:val="20"/>
                <w:szCs w:val="20"/>
              </w:rPr>
              <w:t xml:space="preserve"> </w:t>
            </w:r>
            <w:r w:rsidR="00FC4DA2">
              <w:rPr>
                <w:rFonts w:ascii="Aptos" w:hAnsi="Aptos" w:cs="Arial"/>
                <w:sz w:val="20"/>
                <w:szCs w:val="20"/>
              </w:rPr>
              <w:t xml:space="preserve">species in the genus </w:t>
            </w:r>
            <w:r w:rsidR="00FC4DA2" w:rsidRPr="00FC4DA2">
              <w:rPr>
                <w:rFonts w:ascii="Aptos" w:hAnsi="Aptos" w:cs="Arial"/>
                <w:i/>
                <w:iCs/>
                <w:sz w:val="20"/>
                <w:szCs w:val="20"/>
              </w:rPr>
              <w:t>Plotvirus</w:t>
            </w:r>
          </w:p>
          <w:p w14:paraId="7B7BADE9" w14:textId="77777777" w:rsidR="00A77B8E" w:rsidRPr="00BE4F5A"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34A7845C" w14:textId="66C101E0" w:rsidR="00A77B8E" w:rsidRDefault="00A77B8E" w:rsidP="00DD58AA">
            <w:pPr>
              <w:rPr>
                <w:rFonts w:ascii="Aptos" w:hAnsi="Aptos" w:cs="Arial"/>
                <w:color w:val="0000FF"/>
                <w:sz w:val="20"/>
                <w:szCs w:val="20"/>
              </w:rPr>
            </w:pPr>
            <w:r w:rsidRPr="00BE4F5A">
              <w:rPr>
                <w:rFonts w:ascii="Aptos" w:hAnsi="Aptos" w:cs="Arial"/>
                <w:i/>
                <w:sz w:val="20"/>
              </w:rPr>
              <w:t>Justification</w:t>
            </w:r>
            <w:r w:rsidRPr="00BE4F5A">
              <w:rPr>
                <w:rFonts w:ascii="Aptos" w:hAnsi="Aptos" w:cs="Arial"/>
                <w:sz w:val="20"/>
              </w:rPr>
              <w:t>:</w:t>
            </w:r>
            <w:r w:rsidR="00A824BE">
              <w:rPr>
                <w:rFonts w:ascii="Aptos" w:hAnsi="Aptos" w:cs="Arial"/>
                <w:sz w:val="20"/>
              </w:rPr>
              <w:t xml:space="preserve"> </w:t>
            </w:r>
            <w:r w:rsidR="0051392C" w:rsidRPr="0051392C">
              <w:rPr>
                <w:rFonts w:ascii="Aptos" w:eastAsia="Times" w:hAnsi="Aptos" w:cs="Arial"/>
                <w:i/>
                <w:iCs/>
                <w:sz w:val="20"/>
                <w:szCs w:val="20"/>
                <w:lang w:eastAsia="en-GB"/>
              </w:rPr>
              <w:t>Mycobacterium</w:t>
            </w:r>
            <w:r w:rsidR="0051392C" w:rsidRPr="0051392C">
              <w:rPr>
                <w:rFonts w:ascii="Aptos" w:eastAsia="Times" w:hAnsi="Aptos" w:cs="Arial"/>
                <w:sz w:val="20"/>
                <w:szCs w:val="20"/>
                <w:lang w:eastAsia="en-GB"/>
              </w:rPr>
              <w:t xml:space="preserve"> phage Nova is sufficiently different from </w:t>
            </w:r>
            <w:r w:rsidR="0051392C" w:rsidRPr="0051392C">
              <w:rPr>
                <w:rFonts w:ascii="Aptos" w:eastAsia="Times" w:hAnsi="Aptos" w:cs="Arial"/>
                <w:i/>
                <w:iCs/>
                <w:sz w:val="20"/>
                <w:szCs w:val="20"/>
                <w:lang w:eastAsia="en-GB"/>
              </w:rPr>
              <w:t>Mycobacterium</w:t>
            </w:r>
            <w:r w:rsidR="0051392C" w:rsidRPr="0051392C">
              <w:rPr>
                <w:rFonts w:ascii="Aptos" w:eastAsia="Times" w:hAnsi="Aptos" w:cs="Arial"/>
                <w:sz w:val="20"/>
                <w:szCs w:val="20"/>
                <w:lang w:eastAsia="en-GB"/>
              </w:rPr>
              <w:t xml:space="preserve"> phage Plot to be considered a new species</w:t>
            </w: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370E7E25"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420A2D4E"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6A3640A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CF1CA9">
              <w:rPr>
                <w:rFonts w:ascii="Aptos" w:hAnsi="Aptos" w:cs="Arial"/>
                <w:sz w:val="20"/>
                <w:szCs w:val="20"/>
              </w:rPr>
              <w:t>species</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2A1A187F" w14:textId="52A7BABA" w:rsidR="00EC2412" w:rsidRDefault="00EC2412" w:rsidP="00EC2412">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1B455D">
              <w:rPr>
                <w:rFonts w:ascii="Aptos" w:hAnsi="Aptos" w:cs="Arial"/>
                <w:sz w:val="20"/>
                <w:szCs w:val="20"/>
              </w:rPr>
              <w:t xml:space="preserve">The genus </w:t>
            </w:r>
            <w:r w:rsidR="001B455D">
              <w:rPr>
                <w:rFonts w:ascii="Aptos" w:hAnsi="Aptos" w:cs="Arial"/>
                <w:i/>
                <w:iCs/>
                <w:sz w:val="20"/>
                <w:szCs w:val="20"/>
              </w:rPr>
              <w:t xml:space="preserve">Plotvirus </w:t>
            </w:r>
            <w:r w:rsidR="001B455D">
              <w:rPr>
                <w:rFonts w:ascii="Aptos" w:hAnsi="Aptos" w:cs="Arial"/>
                <w:sz w:val="20"/>
                <w:szCs w:val="20"/>
              </w:rPr>
              <w:t>currently includes a single species (</w:t>
            </w:r>
            <w:proofErr w:type="gramStart"/>
            <w:r w:rsidR="00FC4DA2" w:rsidRPr="00FC4DA2">
              <w:rPr>
                <w:rFonts w:ascii="Aptos" w:hAnsi="Aptos" w:cs="Arial"/>
                <w:sz w:val="20"/>
                <w:szCs w:val="20"/>
              </w:rPr>
              <w:t>2017.007B.A</w:t>
            </w:r>
            <w:proofErr w:type="gramEnd"/>
            <w:r w:rsidR="00FC4DA2" w:rsidRPr="00FC4DA2">
              <w:rPr>
                <w:rFonts w:ascii="Aptos" w:hAnsi="Aptos" w:cs="Arial"/>
                <w:sz w:val="20"/>
                <w:szCs w:val="20"/>
              </w:rPr>
              <w:t>.v</w:t>
            </w:r>
            <w:proofErr w:type="gramStart"/>
            <w:r w:rsidR="00FC4DA2" w:rsidRPr="00FC4DA2">
              <w:rPr>
                <w:rFonts w:ascii="Aptos" w:hAnsi="Aptos" w:cs="Arial"/>
                <w:sz w:val="20"/>
                <w:szCs w:val="20"/>
              </w:rPr>
              <w:t>1.Dclasvirinae</w:t>
            </w:r>
            <w:proofErr w:type="gramEnd"/>
            <w:r w:rsidR="001B455D">
              <w:rPr>
                <w:rFonts w:ascii="Aptos" w:hAnsi="Aptos" w:cs="Arial"/>
                <w:sz w:val="20"/>
                <w:szCs w:val="20"/>
              </w:rPr>
              <w:t>)</w:t>
            </w:r>
          </w:p>
          <w:p w14:paraId="73E99173" w14:textId="77777777" w:rsidR="00FC4DA2" w:rsidRPr="00BE4F5A" w:rsidRDefault="00FC4DA2" w:rsidP="00EC2412">
            <w:pPr>
              <w:rPr>
                <w:rFonts w:ascii="Aptos" w:hAnsi="Aptos" w:cs="Arial"/>
                <w:sz w:val="20"/>
                <w:szCs w:val="20"/>
              </w:rPr>
            </w:pPr>
          </w:p>
          <w:p w14:paraId="462A8C7D" w14:textId="73160DFF" w:rsidR="00EC2412" w:rsidRPr="00BE4F5A" w:rsidRDefault="00EC2412" w:rsidP="00EC2412">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Pr>
                <w:rFonts w:ascii="Aptos" w:hAnsi="Aptos" w:cs="Arial"/>
                <w:sz w:val="20"/>
                <w:szCs w:val="20"/>
              </w:rPr>
              <w:t xml:space="preserve">To create a new </w:t>
            </w:r>
            <w:r w:rsidR="00FC4DA2">
              <w:rPr>
                <w:rFonts w:ascii="Aptos" w:hAnsi="Aptos" w:cs="Arial"/>
                <w:sz w:val="20"/>
                <w:szCs w:val="20"/>
              </w:rPr>
              <w:t xml:space="preserve">species in the genus </w:t>
            </w:r>
            <w:r w:rsidR="00FC4DA2" w:rsidRPr="00FC4DA2">
              <w:rPr>
                <w:rFonts w:ascii="Aptos" w:hAnsi="Aptos" w:cs="Arial"/>
                <w:i/>
                <w:iCs/>
                <w:sz w:val="20"/>
                <w:szCs w:val="20"/>
              </w:rPr>
              <w:t>Plotvirus</w:t>
            </w:r>
            <w:r>
              <w:rPr>
                <w:rFonts w:ascii="Aptos" w:hAnsi="Aptos" w:cs="Arial"/>
                <w:sz w:val="20"/>
                <w:szCs w:val="20"/>
              </w:rPr>
              <w:t xml:space="preserve"> </w:t>
            </w:r>
          </w:p>
          <w:p w14:paraId="0ACA8579" w14:textId="77777777" w:rsidR="00A77B8E" w:rsidRPr="00BE4F5A" w:rsidRDefault="00A77B8E" w:rsidP="00DD58AA">
            <w:pPr>
              <w:rPr>
                <w:rFonts w:ascii="Aptos" w:hAnsi="Aptos" w:cs="Arial"/>
                <w:sz w:val="20"/>
                <w:szCs w:val="20"/>
              </w:rPr>
            </w:pPr>
          </w:p>
          <w:p w14:paraId="239C9D43" w14:textId="6C22E3C1" w:rsidR="00273642" w:rsidRDefault="00273642" w:rsidP="00DD58AA">
            <w:pPr>
              <w:rPr>
                <w:rFonts w:ascii="Aptos" w:hAnsi="Aptos" w:cs="Arial"/>
                <w:i/>
                <w:sz w:val="20"/>
                <w:szCs w:val="20"/>
              </w:rPr>
            </w:pPr>
            <w:r>
              <w:rPr>
                <w:rFonts w:ascii="Aptos" w:hAnsi="Aptos" w:cs="Arial"/>
                <w:i/>
                <w:sz w:val="20"/>
                <w:szCs w:val="20"/>
              </w:rPr>
              <w:t>Demarcation criteria</w:t>
            </w:r>
            <w:r w:rsidR="00986609">
              <w:rPr>
                <w:rFonts w:ascii="Aptos" w:hAnsi="Aptos" w:cs="Arial"/>
                <w:i/>
                <w:sz w:val="20"/>
                <w:szCs w:val="20"/>
              </w:rPr>
              <w:t xml:space="preserve">: </w:t>
            </w:r>
            <w:r w:rsidR="00986609" w:rsidRPr="00986609">
              <w:rPr>
                <w:rFonts w:ascii="Aptos" w:hAnsi="Aptos" w:cs="Arial"/>
                <w:iCs/>
                <w:sz w:val="20"/>
                <w:szCs w:val="20"/>
              </w:rPr>
              <w:t>The</w:t>
            </w:r>
            <w:r w:rsidR="002A1FDF" w:rsidRPr="002A1FDF">
              <w:rPr>
                <w:rFonts w:ascii="Aptos" w:hAnsi="Aptos" w:cs="Arial"/>
                <w:iCs/>
                <w:sz w:val="20"/>
                <w:szCs w:val="20"/>
              </w:rPr>
              <w:t xml:space="preserve"> Bacterial and Archaeal Virus Subcommittee </w:t>
            </w:r>
            <w:r w:rsidR="00464000" w:rsidRPr="002A1FDF">
              <w:rPr>
                <w:rFonts w:ascii="Aptos" w:hAnsi="Aptos" w:cs="Arial"/>
                <w:iCs/>
                <w:sz w:val="20"/>
                <w:szCs w:val="20"/>
              </w:rPr>
              <w:t>established 70</w:t>
            </w:r>
            <w:r w:rsidR="002A1FDF" w:rsidRPr="002A1FDF">
              <w:rPr>
                <w:rFonts w:ascii="Aptos" w:hAnsi="Aptos" w:cs="Arial"/>
                <w:iCs/>
                <w:sz w:val="20"/>
                <w:szCs w:val="20"/>
              </w:rPr>
              <w:t>% average nucleotide identity (ANI) threshold for genus classification or 95% ANI for species</w:t>
            </w:r>
            <w:r w:rsidR="002A1FDF">
              <w:rPr>
                <w:rFonts w:ascii="Aptos" w:hAnsi="Aptos" w:cs="Arial"/>
                <w:iCs/>
                <w:sz w:val="20"/>
                <w:szCs w:val="20"/>
              </w:rPr>
              <w:t xml:space="preserve"> [8</w:t>
            </w:r>
            <w:r w:rsidR="00121467">
              <w:rPr>
                <w:rFonts w:ascii="Aptos" w:hAnsi="Aptos" w:cs="Arial"/>
                <w:iCs/>
                <w:sz w:val="20"/>
                <w:szCs w:val="20"/>
              </w:rPr>
              <w:t>]</w:t>
            </w:r>
          </w:p>
          <w:p w14:paraId="1F25F8FD" w14:textId="77777777" w:rsidR="00FC2269" w:rsidRDefault="00FC2269" w:rsidP="00DD58AA">
            <w:pPr>
              <w:rPr>
                <w:rFonts w:ascii="Aptos" w:hAnsi="Aptos" w:cs="Arial"/>
                <w:i/>
                <w:sz w:val="20"/>
                <w:szCs w:val="20"/>
              </w:rPr>
            </w:pPr>
          </w:p>
          <w:p w14:paraId="404D8B91" w14:textId="67344287"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r w:rsidR="0051392C" w:rsidRPr="0051392C">
              <w:rPr>
                <w:rFonts w:ascii="Aptos" w:hAnsi="Aptos" w:cs="Arial"/>
                <w:i/>
                <w:iCs/>
                <w:sz w:val="20"/>
                <w:szCs w:val="20"/>
              </w:rPr>
              <w:t>Mycobacterium</w:t>
            </w:r>
            <w:r w:rsidR="0051392C">
              <w:rPr>
                <w:rFonts w:ascii="Aptos" w:hAnsi="Aptos" w:cs="Arial"/>
                <w:sz w:val="20"/>
                <w:szCs w:val="20"/>
              </w:rPr>
              <w:t xml:space="preserve"> phage Nova </w:t>
            </w:r>
            <w:r w:rsidR="0051392C" w:rsidRPr="00FC4DA2">
              <w:rPr>
                <w:rFonts w:ascii="Aptos" w:hAnsi="Aptos" w:cs="Arial"/>
                <w:sz w:val="20"/>
                <w:szCs w:val="20"/>
              </w:rPr>
              <w:t>is</w:t>
            </w:r>
            <w:r w:rsidR="00FC4DA2" w:rsidRPr="00FC4DA2">
              <w:rPr>
                <w:rFonts w:ascii="Aptos" w:hAnsi="Aptos" w:cs="Arial"/>
                <w:sz w:val="20"/>
                <w:szCs w:val="20"/>
              </w:rPr>
              <w:t xml:space="preserve"> sufficiently different from </w:t>
            </w:r>
            <w:r w:rsidR="00FC4DA2" w:rsidRPr="0051392C">
              <w:rPr>
                <w:rFonts w:ascii="Aptos" w:hAnsi="Aptos" w:cs="Arial"/>
                <w:i/>
                <w:iCs/>
                <w:sz w:val="20"/>
                <w:szCs w:val="20"/>
              </w:rPr>
              <w:t>Mycobacterium</w:t>
            </w:r>
            <w:r w:rsidR="00FC4DA2" w:rsidRPr="00FC4DA2">
              <w:rPr>
                <w:rFonts w:ascii="Aptos" w:hAnsi="Aptos" w:cs="Arial"/>
                <w:sz w:val="20"/>
                <w:szCs w:val="20"/>
              </w:rPr>
              <w:t xml:space="preserve"> phage Plot to be considered a new species</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 xml:space="preserve">O'Leary NA, Wright MW, Brister JR, Ciufo S, Haddad D, McVeigh R, et al. Reference sequence (RefSeq) database at NCBI: </w:t>
            </w:r>
            <w:proofErr w:type="gramStart"/>
            <w:r>
              <w:rPr>
                <w:rFonts w:ascii="Aptos" w:hAnsi="Aptos" w:cs="Arial"/>
                <w:sz w:val="20"/>
                <w:szCs w:val="20"/>
              </w:rPr>
              <w:t>current status</w:t>
            </w:r>
            <w:proofErr w:type="gramEnd"/>
            <w:r>
              <w:rPr>
                <w:rFonts w:ascii="Aptos" w:hAnsi="Aptos" w:cs="Arial"/>
                <w:sz w:val="20"/>
                <w:szCs w:val="20"/>
              </w:rPr>
              <w:t>,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w:t>
            </w:r>
            <w:proofErr w:type="gramStart"/>
            <w:r>
              <w:rPr>
                <w:rFonts w:ascii="Aptos" w:hAnsi="Aptos"/>
                <w:sz w:val="20"/>
                <w:szCs w:val="20"/>
              </w:rPr>
              <w:t>Of</w:t>
            </w:r>
            <w:proofErr w:type="gramEnd"/>
            <w:r>
              <w:rPr>
                <w:rFonts w:ascii="Aptos" w:hAnsi="Aptos"/>
                <w:sz w:val="20"/>
                <w:szCs w:val="20"/>
              </w:rPr>
              <w:t xml:space="preserve">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gramStart"/>
            <w:r>
              <w:rPr>
                <w:rFonts w:ascii="Aptos" w:hAnsi="Aptos"/>
                <w:sz w:val="20"/>
                <w:szCs w:val="20"/>
              </w:rPr>
              <w:t>itol.toolkit</w:t>
            </w:r>
            <w:proofErr w:type="gramEnd"/>
            <w:r>
              <w:rPr>
                <w:rFonts w:ascii="Aptos" w:hAnsi="Aptos"/>
                <w:sz w:val="20"/>
                <w:szCs w:val="20"/>
              </w:rPr>
              <w:t xml:space="preserve"> accelerates working with iTOL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2BCF8C48"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379C14A8" w:rsidR="00FC2269" w:rsidRPr="00CF59EA" w:rsidRDefault="00FC2269" w:rsidP="005F790F">
            <w:pPr>
              <w:rPr>
                <w:rFonts w:ascii="Aptos" w:hAnsi="Aptos" w:cs="Arial"/>
                <w:b/>
                <w:sz w:val="20"/>
                <w:szCs w:val="20"/>
              </w:rPr>
            </w:pPr>
          </w:p>
        </w:tc>
        <w:tc>
          <w:tcPr>
            <w:tcW w:w="6663" w:type="dxa"/>
          </w:tcPr>
          <w:p w14:paraId="22F4B256" w14:textId="11885E73"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158F75A5"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3A6B7FF4" w14:textId="210B60C4" w:rsidR="00195952" w:rsidRDefault="00FC2269" w:rsidP="00FC2269">
      <w:pPr>
        <w:rPr>
          <w:rFonts w:ascii="Aptos" w:hAnsi="Aptos"/>
        </w:rPr>
      </w:pPr>
      <w:r w:rsidRPr="006C0F51">
        <w:rPr>
          <w:rFonts w:ascii="Aptos" w:hAnsi="Aptos" w:cs="Arial"/>
          <w:color w:val="808080" w:themeColor="background1" w:themeShade="80"/>
          <w:sz w:val="20"/>
        </w:rPr>
        <w:t>&lt;Start here&gt;</w:t>
      </w:r>
    </w:p>
    <w:p w14:paraId="0D6768E8" w14:textId="77777777" w:rsidR="00FC4DA2" w:rsidRDefault="00FC4DA2" w:rsidP="00FC2269">
      <w:pPr>
        <w:rPr>
          <w:rFonts w:ascii="Aptos" w:hAnsi="Aptos"/>
        </w:rPr>
      </w:pPr>
    </w:p>
    <w:p w14:paraId="0099FE28" w14:textId="77777777" w:rsidR="00FC4DA2" w:rsidRDefault="00FC4DA2" w:rsidP="00FC2269">
      <w:pPr>
        <w:rPr>
          <w:rFonts w:ascii="Aptos" w:hAnsi="Aptos"/>
        </w:rPr>
      </w:pPr>
    </w:p>
    <w:p w14:paraId="62535AAA" w14:textId="77777777" w:rsidR="00FC4DA2" w:rsidRDefault="00FC4DA2" w:rsidP="00FC2269">
      <w:pPr>
        <w:rPr>
          <w:rFonts w:ascii="Aptos" w:hAnsi="Aptos"/>
        </w:rPr>
      </w:pPr>
    </w:p>
    <w:p w14:paraId="5556E8C1" w14:textId="3DAF0321" w:rsidR="00A174CC" w:rsidRDefault="00F276D0" w:rsidP="00FC2269">
      <w:pPr>
        <w:rPr>
          <w:rFonts w:ascii="Aptos" w:hAnsi="Aptos"/>
          <w:color w:val="0070C0"/>
        </w:rPr>
      </w:pPr>
      <w:r w:rsidRPr="00F276D0">
        <w:rPr>
          <w:rFonts w:ascii="Aptos" w:hAnsi="Aptos"/>
        </w:rPr>
        <w:t xml:space="preserve">Table 1.  Characteristics of the </w:t>
      </w:r>
      <w:proofErr w:type="gramStart"/>
      <w:r w:rsidRPr="00F276D0">
        <w:rPr>
          <w:rFonts w:ascii="Aptos" w:hAnsi="Aptos"/>
        </w:rPr>
        <w:t>phage</w:t>
      </w:r>
      <w:proofErr w:type="gramEnd"/>
      <w:r w:rsidRPr="00F276D0">
        <w:rPr>
          <w:rFonts w:ascii="Aptos" w:hAnsi="Aptos"/>
        </w:rPr>
        <w:t xml:space="preserve"> described in the proposal</w:t>
      </w:r>
    </w:p>
    <w:tbl>
      <w:tblPr>
        <w:tblStyle w:val="TableGrid"/>
        <w:tblW w:w="0" w:type="auto"/>
        <w:tblInd w:w="-431" w:type="dxa"/>
        <w:tblLook w:val="04A0" w:firstRow="1" w:lastRow="0" w:firstColumn="1" w:lastColumn="0" w:noHBand="0" w:noVBand="1"/>
      </w:tblPr>
      <w:tblGrid>
        <w:gridCol w:w="1713"/>
        <w:gridCol w:w="1568"/>
        <w:gridCol w:w="1315"/>
        <w:gridCol w:w="1149"/>
        <w:gridCol w:w="1358"/>
        <w:gridCol w:w="991"/>
        <w:gridCol w:w="977"/>
        <w:gridCol w:w="683"/>
      </w:tblGrid>
      <w:tr w:rsidR="003B1C3B" w14:paraId="1DD78C39" w14:textId="77777777" w:rsidTr="003E5FCE">
        <w:tc>
          <w:tcPr>
            <w:tcW w:w="1713" w:type="dxa"/>
          </w:tcPr>
          <w:p w14:paraId="61590AA6" w14:textId="5A660E82" w:rsidR="00F00E0B" w:rsidRPr="00F00E0B" w:rsidRDefault="00F00E0B" w:rsidP="00FC2269">
            <w:pPr>
              <w:rPr>
                <w:rFonts w:ascii="Aptos" w:hAnsi="Aptos"/>
                <w:b/>
                <w:bCs/>
                <w:sz w:val="20"/>
                <w:szCs w:val="20"/>
              </w:rPr>
            </w:pPr>
            <w:r w:rsidRPr="00F00E0B">
              <w:rPr>
                <w:rFonts w:ascii="Aptos" w:hAnsi="Aptos"/>
                <w:b/>
                <w:bCs/>
                <w:sz w:val="20"/>
                <w:szCs w:val="20"/>
              </w:rPr>
              <w:t>Phage name</w:t>
            </w:r>
          </w:p>
        </w:tc>
        <w:tc>
          <w:tcPr>
            <w:tcW w:w="1568" w:type="dxa"/>
          </w:tcPr>
          <w:p w14:paraId="2FFA758C" w14:textId="6FAFA494" w:rsidR="00F00E0B" w:rsidRPr="00F00E0B" w:rsidRDefault="00F00E0B" w:rsidP="00FC2269">
            <w:pPr>
              <w:rPr>
                <w:rFonts w:ascii="Aptos" w:hAnsi="Aptos"/>
                <w:b/>
                <w:bCs/>
                <w:sz w:val="20"/>
                <w:szCs w:val="20"/>
              </w:rPr>
            </w:pPr>
            <w:r w:rsidRPr="00F00E0B">
              <w:rPr>
                <w:rFonts w:ascii="Aptos" w:hAnsi="Aptos"/>
                <w:b/>
                <w:bCs/>
                <w:sz w:val="20"/>
                <w:szCs w:val="20"/>
              </w:rPr>
              <w:t>Host</w:t>
            </w:r>
            <w:r w:rsidR="00F94DEE">
              <w:rPr>
                <w:rFonts w:ascii="Aptos" w:hAnsi="Aptos"/>
                <w:b/>
                <w:bCs/>
                <w:sz w:val="20"/>
                <w:szCs w:val="20"/>
              </w:rPr>
              <w:t>s</w:t>
            </w:r>
          </w:p>
        </w:tc>
        <w:tc>
          <w:tcPr>
            <w:tcW w:w="131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149"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358"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991"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977"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683"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3B1C3B" w14:paraId="7F2E379D" w14:textId="77777777" w:rsidTr="003E5FCE">
        <w:tc>
          <w:tcPr>
            <w:tcW w:w="1713" w:type="dxa"/>
          </w:tcPr>
          <w:p w14:paraId="712B245F" w14:textId="5BBBD5F0" w:rsidR="00F00E0B" w:rsidRPr="00CF1CA9" w:rsidRDefault="00FC4DA2" w:rsidP="00FC2269">
            <w:pPr>
              <w:rPr>
                <w:rFonts w:ascii="Aptos" w:hAnsi="Aptos"/>
                <w:sz w:val="20"/>
                <w:szCs w:val="20"/>
              </w:rPr>
            </w:pPr>
            <w:r>
              <w:rPr>
                <w:rFonts w:ascii="Aptos" w:hAnsi="Aptos"/>
                <w:sz w:val="20"/>
                <w:szCs w:val="20"/>
              </w:rPr>
              <w:t>Mycobacterium phage Noca</w:t>
            </w:r>
          </w:p>
        </w:tc>
        <w:tc>
          <w:tcPr>
            <w:tcW w:w="1568" w:type="dxa"/>
          </w:tcPr>
          <w:p w14:paraId="1F1F3D29" w14:textId="5E601B56" w:rsidR="00F00E0B" w:rsidRPr="00F94DEE" w:rsidRDefault="00FC4DA2" w:rsidP="00FC2269">
            <w:pPr>
              <w:rPr>
                <w:rFonts w:ascii="Aptos" w:hAnsi="Aptos"/>
                <w:i/>
                <w:iCs/>
                <w:sz w:val="20"/>
                <w:szCs w:val="20"/>
              </w:rPr>
            </w:pPr>
            <w:r w:rsidRPr="00FC4DA2">
              <w:rPr>
                <w:rFonts w:ascii="Aptos" w:hAnsi="Aptos"/>
                <w:i/>
                <w:iCs/>
                <w:sz w:val="20"/>
                <w:szCs w:val="20"/>
              </w:rPr>
              <w:t xml:space="preserve">Mycobacterium smegmatis </w:t>
            </w:r>
            <w:r w:rsidRPr="00FC4DA2">
              <w:rPr>
                <w:rFonts w:ascii="Aptos" w:hAnsi="Aptos"/>
                <w:sz w:val="20"/>
                <w:szCs w:val="20"/>
              </w:rPr>
              <w:t>mc²155</w:t>
            </w:r>
          </w:p>
        </w:tc>
        <w:tc>
          <w:tcPr>
            <w:tcW w:w="1315" w:type="dxa"/>
          </w:tcPr>
          <w:p w14:paraId="0C7A100F" w14:textId="12F8B42C" w:rsidR="00F00E0B" w:rsidRPr="00F00E0B" w:rsidRDefault="00CF1CA9" w:rsidP="00FC2269">
            <w:pPr>
              <w:rPr>
                <w:rFonts w:ascii="Aptos" w:hAnsi="Aptos"/>
                <w:sz w:val="20"/>
                <w:szCs w:val="20"/>
              </w:rPr>
            </w:pPr>
            <w:r>
              <w:rPr>
                <w:rFonts w:ascii="Aptos" w:hAnsi="Aptos"/>
                <w:sz w:val="20"/>
                <w:szCs w:val="20"/>
              </w:rPr>
              <w:t>Siphovirus</w:t>
            </w:r>
          </w:p>
        </w:tc>
        <w:tc>
          <w:tcPr>
            <w:tcW w:w="1149" w:type="dxa"/>
          </w:tcPr>
          <w:p w14:paraId="41C6D1D6" w14:textId="4A738E57" w:rsidR="00F00E0B" w:rsidRPr="00F00E0B" w:rsidRDefault="00F94DEE" w:rsidP="00FC2269">
            <w:pPr>
              <w:rPr>
                <w:rFonts w:ascii="Aptos" w:hAnsi="Aptos"/>
                <w:sz w:val="20"/>
                <w:szCs w:val="20"/>
              </w:rPr>
            </w:pPr>
            <w:r>
              <w:rPr>
                <w:rFonts w:ascii="Aptos" w:hAnsi="Aptos"/>
                <w:sz w:val="20"/>
                <w:szCs w:val="20"/>
              </w:rPr>
              <w:t>Lytic</w:t>
            </w:r>
          </w:p>
        </w:tc>
        <w:tc>
          <w:tcPr>
            <w:tcW w:w="1358" w:type="dxa"/>
          </w:tcPr>
          <w:p w14:paraId="4C01372D" w14:textId="68240FF9" w:rsidR="00F00E0B" w:rsidRPr="00F00E0B" w:rsidRDefault="00C7766D" w:rsidP="00FC2269">
            <w:pPr>
              <w:rPr>
                <w:rFonts w:ascii="Aptos" w:hAnsi="Aptos"/>
                <w:sz w:val="20"/>
                <w:szCs w:val="20"/>
              </w:rPr>
            </w:pPr>
            <w:r w:rsidRPr="00C7766D">
              <w:rPr>
                <w:rFonts w:ascii="Aptos" w:hAnsi="Aptos"/>
                <w:sz w:val="20"/>
                <w:szCs w:val="20"/>
              </w:rPr>
              <w:t>JN699014.1</w:t>
            </w:r>
          </w:p>
        </w:tc>
        <w:tc>
          <w:tcPr>
            <w:tcW w:w="991" w:type="dxa"/>
          </w:tcPr>
          <w:p w14:paraId="036CD60A" w14:textId="7BFECEE3" w:rsidR="00F00E0B" w:rsidRPr="00F00E0B" w:rsidRDefault="00C7766D" w:rsidP="00FC2269">
            <w:pPr>
              <w:rPr>
                <w:rFonts w:ascii="Aptos" w:hAnsi="Aptos"/>
                <w:sz w:val="20"/>
                <w:szCs w:val="20"/>
              </w:rPr>
            </w:pPr>
            <w:r w:rsidRPr="00C7766D">
              <w:rPr>
                <w:rFonts w:ascii="Aptos" w:hAnsi="Aptos"/>
                <w:sz w:val="20"/>
                <w:szCs w:val="20"/>
              </w:rPr>
              <w:t>65108 bp</w:t>
            </w:r>
          </w:p>
        </w:tc>
        <w:tc>
          <w:tcPr>
            <w:tcW w:w="977" w:type="dxa"/>
          </w:tcPr>
          <w:p w14:paraId="015BE234" w14:textId="06099A97" w:rsidR="00F00E0B" w:rsidRPr="00F00E0B" w:rsidRDefault="00C7766D" w:rsidP="00FC2269">
            <w:pPr>
              <w:rPr>
                <w:rFonts w:ascii="Aptos" w:hAnsi="Aptos"/>
                <w:sz w:val="20"/>
                <w:szCs w:val="20"/>
              </w:rPr>
            </w:pPr>
            <w:r>
              <w:rPr>
                <w:rFonts w:ascii="Aptos" w:hAnsi="Aptos"/>
                <w:sz w:val="20"/>
                <w:szCs w:val="20"/>
              </w:rPr>
              <w:t>88</w:t>
            </w:r>
          </w:p>
        </w:tc>
        <w:tc>
          <w:tcPr>
            <w:tcW w:w="683" w:type="dxa"/>
          </w:tcPr>
          <w:p w14:paraId="3D018A94" w14:textId="681397E7" w:rsidR="00F00E0B" w:rsidRPr="00F00E0B" w:rsidRDefault="00460CD0" w:rsidP="00FC2269">
            <w:pPr>
              <w:rPr>
                <w:rFonts w:ascii="Aptos" w:hAnsi="Aptos"/>
                <w:sz w:val="20"/>
                <w:szCs w:val="20"/>
              </w:rPr>
            </w:pPr>
            <w:r>
              <w:rPr>
                <w:rFonts w:ascii="Aptos" w:hAnsi="Aptos"/>
                <w:sz w:val="20"/>
                <w:szCs w:val="20"/>
              </w:rPr>
              <w:t>0</w:t>
            </w:r>
          </w:p>
        </w:tc>
      </w:tr>
    </w:tbl>
    <w:p w14:paraId="22C2762D" w14:textId="251A8E16" w:rsidR="009C447F" w:rsidRDefault="009C447F" w:rsidP="00FC2269">
      <w:pPr>
        <w:rPr>
          <w:rFonts w:ascii="Aptos" w:eastAsia="Aptos" w:hAnsi="Aptos" w:cs="Aptos"/>
        </w:rPr>
      </w:pPr>
    </w:p>
    <w:p w14:paraId="13987B61" w14:textId="6461A310" w:rsidR="00F82C4D" w:rsidRDefault="00FC4DA2" w:rsidP="009C447F">
      <w:pPr>
        <w:rPr>
          <w:rFonts w:ascii="Aptos" w:eastAsia="Aptos" w:hAnsi="Aptos" w:cs="Aptos"/>
        </w:rPr>
      </w:pPr>
      <w:r w:rsidRPr="00FC4DA2">
        <w:rPr>
          <w:rFonts w:ascii="Aptos" w:eastAsia="Aptos" w:hAnsi="Aptos" w:cs="Aptos"/>
          <w:b/>
          <w:bCs/>
        </w:rPr>
        <w:lastRenderedPageBreak/>
        <w:t>Specific Reference:</w:t>
      </w:r>
      <w:r>
        <w:rPr>
          <w:rFonts w:ascii="Aptos" w:eastAsia="Aptos" w:hAnsi="Aptos" w:cs="Aptos"/>
        </w:rPr>
        <w:t xml:space="preserve"> </w:t>
      </w:r>
      <w:r w:rsidRPr="00FC4DA2">
        <w:rPr>
          <w:rFonts w:ascii="Aptos" w:eastAsia="Aptos" w:hAnsi="Aptos" w:cs="Aptos"/>
        </w:rPr>
        <w:t>Hatfull GF; Science Education Alliance Phage Hunters Advancing Genomics and Evolutionary Science Program; KwaZulu-Natal Research Institute for Tuberculosis and HIV Mycobacterial Genetics Course Students; Phage Hunters Integrating Research and Education Program. Complete genome sequences of 138 mycobacteriophages. J Virol. 2012 Feb;86(4):2382-4. doi: 10.1128/JVI.06870-11. PMID: 22282335; PMCID: PMC3302410.</w:t>
      </w:r>
    </w:p>
    <w:p w14:paraId="100F8910" w14:textId="03703993" w:rsidR="00FC4DA2" w:rsidRDefault="00FC4DA2" w:rsidP="009C447F">
      <w:pPr>
        <w:rPr>
          <w:rFonts w:ascii="Aptos" w:eastAsia="Aptos" w:hAnsi="Aptos" w:cs="Aptos"/>
          <w:noProof/>
        </w:rPr>
      </w:pPr>
    </w:p>
    <w:p w14:paraId="791A491F" w14:textId="2D68FD25" w:rsidR="00FC4DA2" w:rsidRDefault="0051392C" w:rsidP="009C447F">
      <w:pPr>
        <w:rPr>
          <w:rFonts w:ascii="Aptos" w:eastAsia="Aptos" w:hAnsi="Aptos" w:cs="Aptos"/>
          <w:noProof/>
        </w:rPr>
      </w:pPr>
      <w:r>
        <w:rPr>
          <w:rFonts w:ascii="Aptos" w:eastAsia="Aptos" w:hAnsi="Aptos" w:cs="Aptos"/>
          <w:noProof/>
        </w:rPr>
        <mc:AlternateContent>
          <mc:Choice Requires="wps">
            <w:drawing>
              <wp:anchor distT="0" distB="0" distL="114300" distR="114300" simplePos="0" relativeHeight="251659264" behindDoc="0" locked="0" layoutInCell="1" allowOverlap="1" wp14:anchorId="020B049B" wp14:editId="566E2445">
                <wp:simplePos x="0" y="0"/>
                <wp:positionH relativeFrom="column">
                  <wp:posOffset>5403850</wp:posOffset>
                </wp:positionH>
                <wp:positionV relativeFrom="paragraph">
                  <wp:posOffset>1736725</wp:posOffset>
                </wp:positionV>
                <wp:extent cx="450850" cy="711200"/>
                <wp:effectExtent l="41275" t="15875" r="28575" b="47625"/>
                <wp:wrapNone/>
                <wp:docPr id="1767443853" name="Isosceles Triangle 2"/>
                <wp:cNvGraphicFramePr/>
                <a:graphic xmlns:a="http://schemas.openxmlformats.org/drawingml/2006/main">
                  <a:graphicData uri="http://schemas.microsoft.com/office/word/2010/wordprocessingShape">
                    <wps:wsp>
                      <wps:cNvSpPr/>
                      <wps:spPr>
                        <a:xfrm rot="16200000">
                          <a:off x="0" y="0"/>
                          <a:ext cx="450850" cy="711200"/>
                        </a:xfrm>
                        <a:prstGeom prst="triangle">
                          <a:avLst/>
                        </a:prstGeom>
                        <a:solidFill>
                          <a:srgbClr val="EE0000"/>
                        </a:solid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9CE32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425.5pt;margin-top:136.75pt;width:35.5pt;height:56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" fillcolor="#e00" strokecolor="#e00" strokeweight="1pt"/>
            </w:pict>
          </mc:Fallback>
        </mc:AlternateContent>
      </w:r>
      <w:r>
        <w:rPr>
          <w:rFonts w:ascii="Aptos" w:eastAsia="Aptos" w:hAnsi="Aptos" w:cs="Aptos"/>
          <w:noProof/>
        </w:rPr>
        <w:drawing>
          <wp:inline distT="0" distB="0" distL="0" distR="0" wp14:anchorId="46DF7864" wp14:editId="0079EDC3">
            <wp:extent cx="5283472" cy="3600635"/>
            <wp:effectExtent l="0" t="0" r="0" b="0"/>
            <wp:docPr id="103594284"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94284" name="Picture 4" descr="A screenshot of a comput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283472" cy="3600635"/>
                    </a:xfrm>
                    <a:prstGeom prst="rect">
                      <a:avLst/>
                    </a:prstGeom>
                  </pic:spPr>
                </pic:pic>
              </a:graphicData>
            </a:graphic>
          </wp:inline>
        </w:drawing>
      </w:r>
    </w:p>
    <w:p w14:paraId="66E54F39" w14:textId="41434B56" w:rsidR="00BB2CE8" w:rsidRDefault="00BB2CE8" w:rsidP="009C447F">
      <w:pPr>
        <w:rPr>
          <w:rFonts w:ascii="Aptos" w:eastAsia="Aptos" w:hAnsi="Aptos" w:cs="Aptos"/>
        </w:rPr>
      </w:pPr>
    </w:p>
    <w:p w14:paraId="28D77C99" w14:textId="580F1134" w:rsidR="00BB2CE8" w:rsidRDefault="00BB2CE8" w:rsidP="009C447F">
      <w:pPr>
        <w:rPr>
          <w:rFonts w:ascii="Aptos" w:eastAsia="Aptos" w:hAnsi="Aptos" w:cs="Aptos"/>
        </w:rPr>
      </w:pPr>
    </w:p>
    <w:p w14:paraId="42A52A80" w14:textId="79E04FF9" w:rsidR="00BB2CE8" w:rsidRDefault="00BB2CE8" w:rsidP="00BB2CE8">
      <w:pPr>
        <w:rPr>
          <w:rFonts w:ascii="Aptos" w:eastAsia="Aptos" w:hAnsi="Aptos" w:cs="Aptos"/>
        </w:rPr>
      </w:pPr>
      <w:r w:rsidRPr="008230C9">
        <w:rPr>
          <w:rFonts w:ascii="Aptos" w:hAnsi="Aptos"/>
          <w:b/>
          <w:bCs/>
        </w:rPr>
        <w:t>Figure 1.</w:t>
      </w:r>
      <w:r w:rsidRPr="59BD7971">
        <w:rPr>
          <w:rFonts w:ascii="Aptos" w:hAnsi="Aptos"/>
        </w:rPr>
        <w:t xml:space="preserve"> </w:t>
      </w:r>
      <w:r w:rsidR="00C7766D">
        <w:rPr>
          <w:rFonts w:ascii="Aptos" w:hAnsi="Aptos"/>
        </w:rPr>
        <w:t xml:space="preserve">Partial </w:t>
      </w:r>
      <w:r w:rsidRPr="59BD7971">
        <w:rPr>
          <w:rFonts w:ascii="Aptos" w:hAnsi="Aptos"/>
        </w:rPr>
        <w:t xml:space="preserve">VIRIDIC heat map of </w:t>
      </w:r>
      <w:r>
        <w:rPr>
          <w:rFonts w:ascii="Aptos" w:hAnsi="Aptos"/>
        </w:rPr>
        <w:t xml:space="preserve">a group of </w:t>
      </w:r>
      <w:proofErr w:type="gramStart"/>
      <w:r>
        <w:rPr>
          <w:rFonts w:ascii="Aptos" w:hAnsi="Aptos"/>
        </w:rPr>
        <w:t>phages</w:t>
      </w:r>
      <w:proofErr w:type="gramEnd"/>
      <w:r>
        <w:rPr>
          <w:rFonts w:ascii="Aptos" w:hAnsi="Aptos"/>
        </w:rPr>
        <w:t xml:space="preserve"> with the one under discussion indicated with a red arrowhead.  </w:t>
      </w:r>
      <w:r w:rsidRPr="59BD7971">
        <w:rPr>
          <w:rFonts w:ascii="Aptos" w:hAnsi="Aptos"/>
        </w:rPr>
        <w:t xml:space="preserve"> VIRIDIC (Virus Intergenomic Distance Calculator; VIRIDIC (Virus Intergenomic Distance Calculator; [3]; http://rhea.icbm.uni-oldenburg.de/VIRIDIC/) computes pairwise intergenomic </w:t>
      </w:r>
      <w:r w:rsidRPr="59BD7971">
        <w:rPr>
          <w:rFonts w:ascii="Aptos" w:eastAsia="Aptos" w:hAnsi="Aptos" w:cs="Aptos"/>
        </w:rPr>
        <w:t xml:space="preserve">distances/similarities amongst phage genomes. Data values which are bordered in black correspond to strains. </w:t>
      </w:r>
      <w:r>
        <w:rPr>
          <w:rFonts w:ascii="Aptos" w:eastAsia="Aptos" w:hAnsi="Aptos" w:cs="Aptos"/>
        </w:rPr>
        <w:t xml:space="preserve"> Abbreviations: </w:t>
      </w:r>
      <w:r w:rsidR="00C7766D">
        <w:rPr>
          <w:rFonts w:ascii="Aptos" w:eastAsia="Aptos" w:hAnsi="Aptos" w:cs="Aptos"/>
        </w:rPr>
        <w:t>Myco</w:t>
      </w:r>
      <w:r>
        <w:rPr>
          <w:rFonts w:ascii="Aptos" w:eastAsia="Aptos" w:hAnsi="Aptos" w:cs="Aptos"/>
        </w:rPr>
        <w:t xml:space="preserve"> = </w:t>
      </w:r>
      <w:r w:rsidR="00C7766D">
        <w:rPr>
          <w:rFonts w:ascii="Aptos" w:eastAsia="Aptos" w:hAnsi="Aptos" w:cs="Aptos"/>
          <w:i/>
          <w:iCs/>
        </w:rPr>
        <w:t>Mycobacterium</w:t>
      </w:r>
      <w:r>
        <w:rPr>
          <w:rFonts w:ascii="Aptos" w:eastAsia="Aptos" w:hAnsi="Aptos" w:cs="Aptos"/>
        </w:rPr>
        <w:t>; phg = phage.</w:t>
      </w:r>
    </w:p>
    <w:p w14:paraId="6E8014A7" w14:textId="1F1AE5E4" w:rsidR="00BB2CE8" w:rsidRDefault="00BB2CE8" w:rsidP="009C447F">
      <w:pPr>
        <w:rPr>
          <w:rFonts w:ascii="Aptos" w:eastAsia="Aptos" w:hAnsi="Aptos" w:cs="Aptos"/>
        </w:rPr>
      </w:pPr>
    </w:p>
    <w:p w14:paraId="3C98D954" w14:textId="7D459E71" w:rsidR="00F82C4D" w:rsidRDefault="009E4820" w:rsidP="00195952">
      <w:pPr>
        <w:jc w:val="center"/>
        <w:rPr>
          <w:rFonts w:ascii="Aptos" w:eastAsia="Aptos" w:hAnsi="Aptos" w:cs="Aptos"/>
        </w:rPr>
      </w:pPr>
      <w:r>
        <w:rPr>
          <w:rFonts w:ascii="Aptos" w:eastAsia="Aptos" w:hAnsi="Aptos" w:cs="Aptos"/>
          <w:noProof/>
        </w:rPr>
        <w:lastRenderedPageBreak/>
        <w:drawing>
          <wp:inline distT="0" distB="0" distL="0" distR="0" wp14:anchorId="72DC3F26" wp14:editId="1162B5D1">
            <wp:extent cx="3177481" cy="3949295"/>
            <wp:effectExtent l="0" t="0" r="4445" b="0"/>
            <wp:docPr id="2101314529" name="Picture 3" descr="Close-up of a microscope image of bacteri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314529" name="Picture 3" descr="Close-up of a microscope image of bacteria&#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88569" cy="3963076"/>
                    </a:xfrm>
                    <a:prstGeom prst="rect">
                      <a:avLst/>
                    </a:prstGeom>
                  </pic:spPr>
                </pic:pic>
              </a:graphicData>
            </a:graphic>
          </wp:inline>
        </w:drawing>
      </w:r>
      <w:r w:rsidR="00194CE9">
        <w:rPr>
          <w:rFonts w:ascii="Aptos" w:eastAsia="Aptos" w:hAnsi="Aptos" w:cs="Aptos"/>
        </w:rPr>
        <w:br/>
      </w:r>
    </w:p>
    <w:p w14:paraId="485EFBB8" w14:textId="51791CB3" w:rsidR="009C447F" w:rsidRPr="00F110F7" w:rsidRDefault="009E4820" w:rsidP="00FC2269">
      <w:pPr>
        <w:rPr>
          <w:rFonts w:ascii="Aptos" w:hAnsi="Aptos"/>
          <w:color w:val="0070C0"/>
        </w:rPr>
      </w:pPr>
      <w:r w:rsidRPr="009E4820">
        <w:rPr>
          <w:rFonts w:ascii="Aptos" w:eastAsia="Aptos" w:hAnsi="Aptos" w:cs="Aptos"/>
          <w:b/>
          <w:bCs/>
        </w:rPr>
        <w:t>Figure 2.</w:t>
      </w:r>
      <w:r>
        <w:rPr>
          <w:rFonts w:ascii="Aptos" w:eastAsia="Aptos" w:hAnsi="Aptos" w:cs="Aptos"/>
        </w:rPr>
        <w:t xml:space="preserve"> </w:t>
      </w:r>
      <w:r w:rsidRPr="00B10FF1">
        <w:rPr>
          <w:rFonts w:ascii="Aptos" w:eastAsia="Aptos" w:hAnsi="Aptos" w:cs="Aptos"/>
        </w:rPr>
        <w:t xml:space="preserve">Electron micrograph: Electron micrographs of negatively stained </w:t>
      </w:r>
      <w:r>
        <w:rPr>
          <w:rFonts w:ascii="Aptos" w:eastAsia="Aptos" w:hAnsi="Aptos" w:cs="Aptos"/>
        </w:rPr>
        <w:t>Gordonia</w:t>
      </w:r>
      <w:r w:rsidRPr="00B10FF1">
        <w:rPr>
          <w:rFonts w:ascii="Aptos" w:eastAsia="Aptos" w:hAnsi="Aptos" w:cs="Aptos"/>
        </w:rPr>
        <w:t xml:space="preserve"> phage </w:t>
      </w:r>
      <w:r>
        <w:rPr>
          <w:rFonts w:ascii="Aptos" w:eastAsia="Aptos" w:hAnsi="Aptos" w:cs="Aptos"/>
        </w:rPr>
        <w:t>RiverRaider</w:t>
      </w:r>
      <w:r w:rsidRPr="00B10FF1">
        <w:rPr>
          <w:rFonts w:ascii="Aptos" w:eastAsia="Aptos" w:hAnsi="Aptos" w:cs="Aptos"/>
        </w:rPr>
        <w:t xml:space="preserve"> (</w:t>
      </w:r>
      <w:hyperlink r:id="rId14" w:history="1">
        <w:r w:rsidRPr="007D2EE9">
          <w:rPr>
            <w:rStyle w:val="Hyperlink"/>
            <w:rFonts w:ascii="Aptos" w:eastAsia="Aptos" w:hAnsi="Aptos" w:cs="Aptos"/>
          </w:rPr>
          <w:t>https://phagesdb.org/phages/RiverRaider/</w:t>
        </w:r>
      </w:hyperlink>
      <w:r w:rsidRPr="00B10FF1">
        <w:rPr>
          <w:rFonts w:ascii="Aptos" w:eastAsia="Aptos" w:hAnsi="Aptos" w:cs="Aptos"/>
        </w:rPr>
        <w:t>).  Limited permission was granted by The Actinobacteriophages Database (</w:t>
      </w:r>
      <w:hyperlink r:id="rId15" w:history="1">
        <w:r w:rsidRPr="007D2EE9">
          <w:rPr>
            <w:rStyle w:val="Hyperlink"/>
            <w:rFonts w:ascii="Aptos" w:eastAsia="Aptos" w:hAnsi="Aptos" w:cs="Aptos"/>
          </w:rPr>
          <w:t>https://phagesdb.org/</w:t>
        </w:r>
      </w:hyperlink>
      <w:r w:rsidRPr="00B10FF1">
        <w:rPr>
          <w:rFonts w:ascii="Aptos" w:eastAsia="Aptos" w:hAnsi="Aptos" w:cs="Aptos"/>
        </w:rPr>
        <w:t xml:space="preserve">), funded by the Howard Hughes Medical Institute, to use this electron micrograph for this taxonomy proposal; it cannot be reused without permission of The Actinobacteriophages Database.  </w:t>
      </w:r>
    </w:p>
    <w:sectPr w:rsidR="009C447F" w:rsidRPr="00F110F7"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D3EB5" w14:textId="77777777" w:rsidR="005F51B9" w:rsidRDefault="005F51B9">
      <w:r>
        <w:separator/>
      </w:r>
    </w:p>
  </w:endnote>
  <w:endnote w:type="continuationSeparator" w:id="0">
    <w:p w14:paraId="3635DF1E" w14:textId="77777777" w:rsidR="005F51B9" w:rsidRDefault="005F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altName w:val="Microsoft YaHei"/>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370D6" w14:textId="77777777" w:rsidR="005F51B9" w:rsidRDefault="005F51B9">
      <w:r>
        <w:separator/>
      </w:r>
    </w:p>
  </w:footnote>
  <w:footnote w:type="continuationSeparator" w:id="0">
    <w:p w14:paraId="259D06F7" w14:textId="77777777" w:rsidR="005F51B9" w:rsidRDefault="005F5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301"/>
    <w:rsid w:val="000B6878"/>
    <w:rsid w:val="000C462F"/>
    <w:rsid w:val="000D182E"/>
    <w:rsid w:val="000E54FF"/>
    <w:rsid w:val="000F27EA"/>
    <w:rsid w:val="000F51F4"/>
    <w:rsid w:val="000F7067"/>
    <w:rsid w:val="00106232"/>
    <w:rsid w:val="0011008F"/>
    <w:rsid w:val="00115015"/>
    <w:rsid w:val="00117C72"/>
    <w:rsid w:val="00121467"/>
    <w:rsid w:val="0013113D"/>
    <w:rsid w:val="00131FB0"/>
    <w:rsid w:val="001322FC"/>
    <w:rsid w:val="00171083"/>
    <w:rsid w:val="00172351"/>
    <w:rsid w:val="00173ABF"/>
    <w:rsid w:val="00194CE9"/>
    <w:rsid w:val="00195952"/>
    <w:rsid w:val="001B455D"/>
    <w:rsid w:val="001D0007"/>
    <w:rsid w:val="001D3E3E"/>
    <w:rsid w:val="00220A26"/>
    <w:rsid w:val="002312CE"/>
    <w:rsid w:val="0023149A"/>
    <w:rsid w:val="0023696B"/>
    <w:rsid w:val="0024086E"/>
    <w:rsid w:val="0025498B"/>
    <w:rsid w:val="00273642"/>
    <w:rsid w:val="00280100"/>
    <w:rsid w:val="00296DA3"/>
    <w:rsid w:val="002A1FDF"/>
    <w:rsid w:val="002A5A83"/>
    <w:rsid w:val="002B0192"/>
    <w:rsid w:val="002C028D"/>
    <w:rsid w:val="002D4340"/>
    <w:rsid w:val="00327E73"/>
    <w:rsid w:val="00333392"/>
    <w:rsid w:val="00355CE0"/>
    <w:rsid w:val="00363A30"/>
    <w:rsid w:val="0037165B"/>
    <w:rsid w:val="0037243A"/>
    <w:rsid w:val="00382FE8"/>
    <w:rsid w:val="00383BBF"/>
    <w:rsid w:val="0038593F"/>
    <w:rsid w:val="003A166F"/>
    <w:rsid w:val="003A18C5"/>
    <w:rsid w:val="003A5ED7"/>
    <w:rsid w:val="003B0883"/>
    <w:rsid w:val="003B1C3B"/>
    <w:rsid w:val="003B1D1B"/>
    <w:rsid w:val="003B3832"/>
    <w:rsid w:val="003C5428"/>
    <w:rsid w:val="003E5FCE"/>
    <w:rsid w:val="003E70A0"/>
    <w:rsid w:val="003F2A97"/>
    <w:rsid w:val="003F5FD1"/>
    <w:rsid w:val="004044AD"/>
    <w:rsid w:val="0043110C"/>
    <w:rsid w:val="00437970"/>
    <w:rsid w:val="00460CD0"/>
    <w:rsid w:val="00464000"/>
    <w:rsid w:val="00471256"/>
    <w:rsid w:val="00480775"/>
    <w:rsid w:val="00485AB4"/>
    <w:rsid w:val="004A1436"/>
    <w:rsid w:val="004C5BDF"/>
    <w:rsid w:val="004F2F1E"/>
    <w:rsid w:val="004F3196"/>
    <w:rsid w:val="0051392C"/>
    <w:rsid w:val="00536426"/>
    <w:rsid w:val="00543F86"/>
    <w:rsid w:val="00544377"/>
    <w:rsid w:val="0055461D"/>
    <w:rsid w:val="00563D4C"/>
    <w:rsid w:val="005660C9"/>
    <w:rsid w:val="0058465A"/>
    <w:rsid w:val="00590DF3"/>
    <w:rsid w:val="005A54C3"/>
    <w:rsid w:val="005B4C7D"/>
    <w:rsid w:val="005C4B53"/>
    <w:rsid w:val="005F51B9"/>
    <w:rsid w:val="006043FB"/>
    <w:rsid w:val="0060717C"/>
    <w:rsid w:val="00607227"/>
    <w:rsid w:val="006109F7"/>
    <w:rsid w:val="00622716"/>
    <w:rsid w:val="006453B1"/>
    <w:rsid w:val="00647814"/>
    <w:rsid w:val="006519E7"/>
    <w:rsid w:val="0067795B"/>
    <w:rsid w:val="00683D0C"/>
    <w:rsid w:val="0069192D"/>
    <w:rsid w:val="006B4EDE"/>
    <w:rsid w:val="006B7AB8"/>
    <w:rsid w:val="006C0F51"/>
    <w:rsid w:val="006C34EA"/>
    <w:rsid w:val="006D18F6"/>
    <w:rsid w:val="006D30E3"/>
    <w:rsid w:val="006D428E"/>
    <w:rsid w:val="006E4357"/>
    <w:rsid w:val="00723577"/>
    <w:rsid w:val="0072682D"/>
    <w:rsid w:val="00736440"/>
    <w:rsid w:val="00737875"/>
    <w:rsid w:val="00740A3F"/>
    <w:rsid w:val="00741880"/>
    <w:rsid w:val="00772160"/>
    <w:rsid w:val="00781CBB"/>
    <w:rsid w:val="007B0F70"/>
    <w:rsid w:val="007B6511"/>
    <w:rsid w:val="007E0EF5"/>
    <w:rsid w:val="007E667B"/>
    <w:rsid w:val="00822B3A"/>
    <w:rsid w:val="008230C9"/>
    <w:rsid w:val="00824208"/>
    <w:rsid w:val="008308A0"/>
    <w:rsid w:val="00836163"/>
    <w:rsid w:val="00852D43"/>
    <w:rsid w:val="00865726"/>
    <w:rsid w:val="008815EE"/>
    <w:rsid w:val="00883A5C"/>
    <w:rsid w:val="008A22E9"/>
    <w:rsid w:val="008B43B1"/>
    <w:rsid w:val="008F51E2"/>
    <w:rsid w:val="00901EBC"/>
    <w:rsid w:val="00903048"/>
    <w:rsid w:val="009078FF"/>
    <w:rsid w:val="009457C8"/>
    <w:rsid w:val="00953FFE"/>
    <w:rsid w:val="00964F7C"/>
    <w:rsid w:val="009703AF"/>
    <w:rsid w:val="00974174"/>
    <w:rsid w:val="009741D1"/>
    <w:rsid w:val="00974C28"/>
    <w:rsid w:val="00976E37"/>
    <w:rsid w:val="00986609"/>
    <w:rsid w:val="009A2D16"/>
    <w:rsid w:val="009A3B4A"/>
    <w:rsid w:val="009C41B8"/>
    <w:rsid w:val="009C447F"/>
    <w:rsid w:val="009E305C"/>
    <w:rsid w:val="009E4820"/>
    <w:rsid w:val="009E7632"/>
    <w:rsid w:val="009F58DA"/>
    <w:rsid w:val="009F7856"/>
    <w:rsid w:val="00A10BA1"/>
    <w:rsid w:val="00A174CC"/>
    <w:rsid w:val="00A2357C"/>
    <w:rsid w:val="00A3391C"/>
    <w:rsid w:val="00A443CA"/>
    <w:rsid w:val="00A553FE"/>
    <w:rsid w:val="00A77B8E"/>
    <w:rsid w:val="00A817A9"/>
    <w:rsid w:val="00A824BE"/>
    <w:rsid w:val="00A82FBB"/>
    <w:rsid w:val="00AA4711"/>
    <w:rsid w:val="00AC3830"/>
    <w:rsid w:val="00AD201A"/>
    <w:rsid w:val="00AD2884"/>
    <w:rsid w:val="00AD5A3A"/>
    <w:rsid w:val="00AD759B"/>
    <w:rsid w:val="00AE2E79"/>
    <w:rsid w:val="00AE528C"/>
    <w:rsid w:val="00AF4998"/>
    <w:rsid w:val="00B03B7F"/>
    <w:rsid w:val="00B10FF1"/>
    <w:rsid w:val="00B1187F"/>
    <w:rsid w:val="00B17B37"/>
    <w:rsid w:val="00B35CC8"/>
    <w:rsid w:val="00B47589"/>
    <w:rsid w:val="00B62982"/>
    <w:rsid w:val="00B762CB"/>
    <w:rsid w:val="00B80910"/>
    <w:rsid w:val="00BB2CE8"/>
    <w:rsid w:val="00BD6C0B"/>
    <w:rsid w:val="00BD7967"/>
    <w:rsid w:val="00BE4F5A"/>
    <w:rsid w:val="00C55633"/>
    <w:rsid w:val="00C621EE"/>
    <w:rsid w:val="00C7480B"/>
    <w:rsid w:val="00C7766D"/>
    <w:rsid w:val="00C8775F"/>
    <w:rsid w:val="00C95FB7"/>
    <w:rsid w:val="00CB5A0F"/>
    <w:rsid w:val="00CD2C82"/>
    <w:rsid w:val="00CE3B3F"/>
    <w:rsid w:val="00CF1CA9"/>
    <w:rsid w:val="00CF59EA"/>
    <w:rsid w:val="00D04287"/>
    <w:rsid w:val="00D062BE"/>
    <w:rsid w:val="00D10857"/>
    <w:rsid w:val="00D13AD5"/>
    <w:rsid w:val="00D23567"/>
    <w:rsid w:val="00D46663"/>
    <w:rsid w:val="00D55443"/>
    <w:rsid w:val="00D77E1C"/>
    <w:rsid w:val="00D820A5"/>
    <w:rsid w:val="00DA3721"/>
    <w:rsid w:val="00DD58AA"/>
    <w:rsid w:val="00DE01F5"/>
    <w:rsid w:val="00E011E3"/>
    <w:rsid w:val="00E034BE"/>
    <w:rsid w:val="00E204BF"/>
    <w:rsid w:val="00E37077"/>
    <w:rsid w:val="00E50727"/>
    <w:rsid w:val="00E863D4"/>
    <w:rsid w:val="00E8710D"/>
    <w:rsid w:val="00E969AE"/>
    <w:rsid w:val="00EA149C"/>
    <w:rsid w:val="00EC2412"/>
    <w:rsid w:val="00ED0350"/>
    <w:rsid w:val="00ED3787"/>
    <w:rsid w:val="00ED4569"/>
    <w:rsid w:val="00EE484F"/>
    <w:rsid w:val="00EF2448"/>
    <w:rsid w:val="00F00E0B"/>
    <w:rsid w:val="00F110F7"/>
    <w:rsid w:val="00F15498"/>
    <w:rsid w:val="00F276D0"/>
    <w:rsid w:val="00F62692"/>
    <w:rsid w:val="00F711CE"/>
    <w:rsid w:val="00F74510"/>
    <w:rsid w:val="00F82C4D"/>
    <w:rsid w:val="00F9028E"/>
    <w:rsid w:val="00F911F1"/>
    <w:rsid w:val="00F943F9"/>
    <w:rsid w:val="00F94DEE"/>
    <w:rsid w:val="00F94E9E"/>
    <w:rsid w:val="00F976DD"/>
    <w:rsid w:val="00FA1DC3"/>
    <w:rsid w:val="00FB300C"/>
    <w:rsid w:val="00FC2269"/>
    <w:rsid w:val="00FC4DA2"/>
    <w:rsid w:val="00FC7A45"/>
    <w:rsid w:val="00FE68CD"/>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1230723362">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yperlink" Target="https://phagesdb.org/" TargetMode="External"/><Relationship Id="rId10" Type="http://schemas.openxmlformats.org/officeDocument/2006/relationships/hyperlink" Target="https://ictv.global/s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hyperlink" Target="https://phagesdb.org/phages/RiverRai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7</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52</cp:revision>
  <dcterms:created xsi:type="dcterms:W3CDTF">2025-03-25T08:46:00Z</dcterms:created>
  <dcterms:modified xsi:type="dcterms:W3CDTF">2025-07-16T09:25:00Z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