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663DD43" w:rsidR="00A174CC" w:rsidRDefault="00A174CC">
      <w:pPr>
        <w:rPr>
          <w:rFonts w:ascii="Aptos" w:hAnsi="Aptos" w:cs="Arial"/>
          <w:b/>
          <w:color w:val="000000"/>
          <w:sz w:val="20"/>
          <w:szCs w:val="20"/>
        </w:rPr>
      </w:pPr>
      <w:hyperlink r:id="rId9" w:history="1">
        <w:r>
          <w:rPr>
            <w:rStyle w:val="Hyperlink"/>
          </w:rPr>
          <w:t>https://ictv.global/taxonomy/templates</w:t>
        </w:r>
      </w:hyperlink>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125759CB">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102D4F2F" w:rsidR="00E37077" w:rsidRPr="001D0007" w:rsidRDefault="006453B1" w:rsidP="125759CB">
            <w:pPr>
              <w:rPr>
                <w:rFonts w:ascii="Aptos" w:hAnsi="Aptos" w:cs="Arial"/>
                <w:color w:val="000000" w:themeColor="text1"/>
                <w:sz w:val="20"/>
                <w:szCs w:val="20"/>
              </w:rPr>
            </w:pPr>
            <w:r w:rsidRPr="125759CB">
              <w:rPr>
                <w:rFonts w:ascii="Aptos" w:hAnsi="Aptos" w:cs="Arial"/>
                <w:color w:val="000000" w:themeColor="text1"/>
                <w:sz w:val="20"/>
                <w:szCs w:val="20"/>
              </w:rPr>
              <w:t>Create one new genus (</w:t>
            </w:r>
            <w:r w:rsidR="00544377" w:rsidRPr="125759CB">
              <w:rPr>
                <w:rFonts w:ascii="Aptos" w:hAnsi="Aptos" w:cs="Arial"/>
                <w:i/>
                <w:iCs/>
                <w:color w:val="000000" w:themeColor="text1"/>
                <w:sz w:val="20"/>
                <w:szCs w:val="20"/>
              </w:rPr>
              <w:t>N</w:t>
            </w:r>
            <w:r w:rsidR="00555D2F" w:rsidRPr="125759CB">
              <w:rPr>
                <w:rFonts w:ascii="Aptos" w:hAnsi="Aptos" w:cs="Arial"/>
                <w:i/>
                <w:iCs/>
                <w:color w:val="000000" w:themeColor="text1"/>
                <w:sz w:val="20"/>
                <w:szCs w:val="20"/>
              </w:rPr>
              <w:t>ub</w:t>
            </w:r>
            <w:r w:rsidR="00F94E9E" w:rsidRPr="125759CB">
              <w:rPr>
                <w:rFonts w:ascii="Aptos" w:hAnsi="Aptos" w:cs="Arial"/>
                <w:i/>
                <w:iCs/>
                <w:color w:val="000000" w:themeColor="text1"/>
                <w:sz w:val="20"/>
                <w:szCs w:val="20"/>
              </w:rPr>
              <w:t>runa</w:t>
            </w:r>
            <w:r w:rsidRPr="125759CB">
              <w:rPr>
                <w:rFonts w:ascii="Aptos" w:hAnsi="Aptos" w:cs="Arial"/>
                <w:i/>
                <w:iCs/>
                <w:color w:val="000000" w:themeColor="text1"/>
                <w:sz w:val="20"/>
                <w:szCs w:val="20"/>
              </w:rPr>
              <w:t>virus</w:t>
            </w:r>
            <w:r w:rsidRPr="125759CB">
              <w:rPr>
                <w:rFonts w:ascii="Aptos" w:hAnsi="Aptos" w:cs="Arial"/>
                <w:color w:val="000000" w:themeColor="text1"/>
                <w:sz w:val="20"/>
                <w:szCs w:val="20"/>
              </w:rPr>
              <w:t xml:space="preserve">) with </w:t>
            </w:r>
            <w:r w:rsidR="00CF1CA9" w:rsidRPr="125759CB">
              <w:rPr>
                <w:rFonts w:ascii="Aptos" w:hAnsi="Aptos" w:cs="Arial"/>
                <w:color w:val="000000" w:themeColor="text1"/>
                <w:sz w:val="20"/>
                <w:szCs w:val="20"/>
              </w:rPr>
              <w:t>a single</w:t>
            </w:r>
            <w:r w:rsidRPr="125759CB">
              <w:rPr>
                <w:rFonts w:ascii="Aptos" w:hAnsi="Aptos" w:cs="Arial"/>
                <w:color w:val="000000" w:themeColor="text1"/>
                <w:sz w:val="20"/>
                <w:szCs w:val="20"/>
              </w:rPr>
              <w:t xml:space="preserve"> species (</w:t>
            </w:r>
            <w:r w:rsidR="5018D50F" w:rsidRPr="125759CB">
              <w:rPr>
                <w:rFonts w:ascii="Aptos" w:hAnsi="Aptos" w:cs="Arial"/>
                <w:color w:val="000000" w:themeColor="text1"/>
                <w:sz w:val="20"/>
                <w:szCs w:val="20"/>
              </w:rPr>
              <w:t xml:space="preserve">class </w:t>
            </w:r>
            <w:r w:rsidRPr="125759CB">
              <w:rPr>
                <w:rFonts w:ascii="Aptos" w:hAnsi="Aptos" w:cs="Arial"/>
                <w:i/>
                <w:iCs/>
                <w:color w:val="000000" w:themeColor="text1"/>
                <w:sz w:val="20"/>
                <w:szCs w:val="20"/>
              </w:rPr>
              <w:t>Caudoviricetes</w:t>
            </w:r>
            <w:r w:rsidRPr="125759CB">
              <w:rPr>
                <w:rFonts w:ascii="Aptos" w:hAnsi="Aptos" w:cs="Arial"/>
                <w:color w:val="000000" w:themeColor="text1"/>
                <w:sz w:val="20"/>
                <w:szCs w:val="20"/>
              </w:rPr>
              <w:t>).</w:t>
            </w:r>
          </w:p>
        </w:tc>
      </w:tr>
      <w:tr w:rsidR="00E37077" w:rsidRPr="00C95FB7" w14:paraId="6479468A" w14:textId="77777777" w:rsidTr="125759CB">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1B9DD4CD" w:rsidR="00E37077" w:rsidRPr="00582F3B" w:rsidRDefault="00582F3B" w:rsidP="00582F3B">
            <w:pPr>
              <w:rPr>
                <w:rFonts w:ascii="Aptos Narrow" w:hAnsi="Aptos Narrow"/>
                <w:color w:val="000000"/>
                <w:sz w:val="22"/>
                <w:szCs w:val="22"/>
                <w:lang w:val="en-GB"/>
              </w:rPr>
            </w:pPr>
            <w:r>
              <w:rPr>
                <w:rFonts w:ascii="Aptos Narrow" w:hAnsi="Aptos Narrow"/>
                <w:color w:val="000000"/>
                <w:sz w:val="22"/>
                <w:szCs w:val="22"/>
              </w:rPr>
              <w:t>2025.053B.Nubrunavirus_1ng_2ns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54D5214B"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2FF04794"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8A20393"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56C99CF7"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Kurtböke</w:t>
            </w:r>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413A6073"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3F92AA22"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410DC7F7"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377C0B6"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r>
                <w:rPr>
                  <w:rStyle w:val="Hyperlink"/>
                </w:rPr>
                <w:t>https://ictv.global/sc</w:t>
              </w:r>
            </w:hyperlink>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3C472EF"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6334E45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1C41BE2"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6CAD4584"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76AF885C"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5B8B6FA3"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5242057A"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4F3024E2"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418D160C"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794F0B57"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5FADD530"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85BC106"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0F3930EC"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F94E9E">
        <w:trPr>
          <w:trHeight w:val="890"/>
        </w:trPr>
        <w:tc>
          <w:tcPr>
            <w:tcW w:w="2547" w:type="dxa"/>
            <w:vAlign w:val="center"/>
          </w:tcPr>
          <w:p w14:paraId="2B4F2A8D" w14:textId="66FA6D4A" w:rsidR="00333392" w:rsidRPr="00040CB0" w:rsidRDefault="00544377" w:rsidP="00040CB0">
            <w:pPr>
              <w:jc w:val="both"/>
              <w:rPr>
                <w:rFonts w:ascii="Aptos" w:hAnsi="Aptos" w:cs="Arial"/>
                <w:b/>
                <w:color w:val="000000" w:themeColor="text1"/>
                <w:sz w:val="20"/>
                <w:szCs w:val="20"/>
              </w:rPr>
            </w:pPr>
            <w:r>
              <w:rPr>
                <w:rFonts w:ascii="Aptos" w:hAnsi="Aptos" w:cs="Arial"/>
                <w:b/>
                <w:color w:val="000000" w:themeColor="text1"/>
                <w:sz w:val="20"/>
                <w:szCs w:val="20"/>
              </w:rPr>
              <w:t>N</w:t>
            </w:r>
            <w:r w:rsidR="00555D2F">
              <w:rPr>
                <w:rFonts w:ascii="Aptos" w:hAnsi="Aptos" w:cs="Arial"/>
                <w:b/>
                <w:color w:val="000000" w:themeColor="text1"/>
                <w:sz w:val="20"/>
                <w:szCs w:val="20"/>
              </w:rPr>
              <w:t>ub</w:t>
            </w:r>
            <w:r w:rsidR="00F94E9E">
              <w:rPr>
                <w:rFonts w:ascii="Aptos" w:hAnsi="Aptos" w:cs="Arial"/>
                <w:b/>
                <w:color w:val="000000" w:themeColor="text1"/>
                <w:sz w:val="20"/>
                <w:szCs w:val="20"/>
              </w:rPr>
              <w:t>runa</w:t>
            </w:r>
            <w:r w:rsidR="00CF1CA9">
              <w:rPr>
                <w:rFonts w:ascii="Aptos" w:hAnsi="Aptos" w:cs="Arial"/>
                <w:b/>
                <w:color w:val="000000" w:themeColor="text1"/>
                <w:sz w:val="20"/>
                <w:szCs w:val="20"/>
              </w:rPr>
              <w:t>virus</w:t>
            </w:r>
          </w:p>
        </w:tc>
        <w:tc>
          <w:tcPr>
            <w:tcW w:w="6379" w:type="dxa"/>
            <w:vAlign w:val="center"/>
          </w:tcPr>
          <w:p w14:paraId="17202B3B" w14:textId="4F9321C3" w:rsidR="00333392" w:rsidRPr="00040CB0" w:rsidRDefault="00A824BE" w:rsidP="00A824BE">
            <w:pPr>
              <w:jc w:val="both"/>
              <w:rPr>
                <w:rFonts w:ascii="Aptos" w:hAnsi="Aptos" w:cs="Arial"/>
                <w:b/>
                <w:color w:val="000000" w:themeColor="text1"/>
                <w:sz w:val="20"/>
                <w:szCs w:val="20"/>
              </w:rPr>
            </w:pPr>
            <w:r>
              <w:rPr>
                <w:rFonts w:ascii="Aptos" w:hAnsi="Aptos" w:cs="Arial"/>
                <w:b/>
                <w:color w:val="000000" w:themeColor="text1"/>
                <w:sz w:val="20"/>
                <w:szCs w:val="20"/>
              </w:rPr>
              <w:t>Name</w:t>
            </w:r>
            <w:r w:rsidR="00CF1CA9">
              <w:rPr>
                <w:rFonts w:ascii="Aptos" w:hAnsi="Aptos" w:cs="Arial"/>
                <w:b/>
                <w:color w:val="000000" w:themeColor="text1"/>
                <w:sz w:val="20"/>
                <w:szCs w:val="20"/>
              </w:rPr>
              <w:t xml:space="preserve"> derived from first isolate phage of its type </w:t>
            </w:r>
            <w:r w:rsidR="00F94E9E" w:rsidRPr="00555D2F">
              <w:rPr>
                <w:rFonts w:ascii="Aptos" w:hAnsi="Aptos" w:cs="Arial"/>
                <w:b/>
                <w:i/>
                <w:iCs/>
                <w:color w:val="000000" w:themeColor="text1"/>
                <w:sz w:val="20"/>
                <w:szCs w:val="20"/>
              </w:rPr>
              <w:t>Nocardia</w:t>
            </w:r>
            <w:r w:rsidR="00F94E9E">
              <w:rPr>
                <w:rFonts w:ascii="Aptos" w:hAnsi="Aptos" w:cs="Arial"/>
                <w:b/>
                <w:color w:val="000000" w:themeColor="text1"/>
                <w:sz w:val="20"/>
                <w:szCs w:val="20"/>
              </w:rPr>
              <w:t xml:space="preserve"> </w:t>
            </w:r>
            <w:r w:rsidR="00F94E9E" w:rsidRPr="00CF1CA9">
              <w:rPr>
                <w:rFonts w:ascii="Aptos" w:hAnsi="Aptos" w:cs="Arial"/>
                <w:b/>
                <w:color w:val="000000" w:themeColor="text1"/>
                <w:sz w:val="20"/>
                <w:szCs w:val="20"/>
              </w:rPr>
              <w:t>phage</w:t>
            </w:r>
            <w:r w:rsidR="00F94E9E">
              <w:rPr>
                <w:rFonts w:ascii="Aptos" w:hAnsi="Aptos" w:cs="Arial"/>
                <w:b/>
                <w:color w:val="000000" w:themeColor="text1"/>
                <w:sz w:val="20"/>
                <w:szCs w:val="20"/>
              </w:rPr>
              <w:t xml:space="preserve"> </w:t>
            </w:r>
            <w:r w:rsidR="00555D2F" w:rsidRPr="00555D2F">
              <w:rPr>
                <w:rFonts w:ascii="Aptos" w:hAnsi="Aptos" w:cs="Arial"/>
                <w:b/>
                <w:color w:val="000000" w:themeColor="text1"/>
                <w:sz w:val="20"/>
                <w:szCs w:val="20"/>
              </w:rPr>
              <w:t>NBR1</w:t>
            </w: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8A36A5D"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30345DC2"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7703332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5BF82111"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09336122" w14:textId="71263978" w:rsidR="00A77B8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94E9E">
              <w:rPr>
                <w:rFonts w:ascii="Aptos" w:hAnsi="Aptos" w:cs="Arial"/>
                <w:sz w:val="20"/>
                <w:szCs w:val="20"/>
              </w:rPr>
              <w:t xml:space="preserve">As far as we are aware no </w:t>
            </w:r>
            <w:r w:rsidR="00F94E9E" w:rsidRPr="00F94E9E">
              <w:rPr>
                <w:rFonts w:ascii="Aptos" w:hAnsi="Aptos" w:cs="Arial"/>
                <w:i/>
                <w:iCs/>
                <w:sz w:val="20"/>
                <w:szCs w:val="20"/>
              </w:rPr>
              <w:t>Nocardia</w:t>
            </w:r>
            <w:r w:rsidR="00F94E9E">
              <w:rPr>
                <w:rFonts w:ascii="Aptos" w:hAnsi="Aptos" w:cs="Arial"/>
                <w:sz w:val="20"/>
                <w:szCs w:val="20"/>
              </w:rPr>
              <w:t xml:space="preserve"> phages have been classified by ICTV </w:t>
            </w:r>
          </w:p>
          <w:p w14:paraId="1321FC18" w14:textId="77777777" w:rsidR="00A77B8E" w:rsidRPr="00BE4F5A" w:rsidRDefault="00A77B8E" w:rsidP="00DD58AA">
            <w:pPr>
              <w:rPr>
                <w:rFonts w:ascii="Aptos" w:hAnsi="Aptos" w:cs="Arial"/>
                <w:sz w:val="20"/>
                <w:szCs w:val="20"/>
              </w:rPr>
            </w:pPr>
          </w:p>
          <w:p w14:paraId="19D0D4AD" w14:textId="45F582AF"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EC2412">
              <w:rPr>
                <w:rFonts w:ascii="Aptos" w:hAnsi="Aptos" w:cs="Arial"/>
                <w:sz w:val="20"/>
                <w:szCs w:val="20"/>
              </w:rPr>
              <w:t>To create a</w:t>
            </w:r>
            <w:r w:rsidR="00A824BE">
              <w:rPr>
                <w:rFonts w:ascii="Aptos" w:hAnsi="Aptos" w:cs="Arial"/>
                <w:sz w:val="20"/>
                <w:szCs w:val="20"/>
              </w:rPr>
              <w:t xml:space="preserve"> new genus </w:t>
            </w:r>
            <w:r w:rsidR="00F60452">
              <w:rPr>
                <w:rFonts w:ascii="Aptos" w:hAnsi="Aptos" w:cs="Arial"/>
                <w:sz w:val="20"/>
                <w:szCs w:val="20"/>
              </w:rPr>
              <w:t>“</w:t>
            </w:r>
            <w:r w:rsidR="00EC2412" w:rsidRPr="00EC2412">
              <w:rPr>
                <w:rFonts w:ascii="Aptos" w:hAnsi="Aptos" w:cs="Arial"/>
                <w:i/>
                <w:iCs/>
                <w:sz w:val="20"/>
                <w:szCs w:val="20"/>
              </w:rPr>
              <w:t>N</w:t>
            </w:r>
            <w:r w:rsidR="00555D2F">
              <w:rPr>
                <w:rFonts w:ascii="Aptos" w:hAnsi="Aptos" w:cs="Arial"/>
                <w:i/>
                <w:iCs/>
                <w:sz w:val="20"/>
                <w:szCs w:val="20"/>
              </w:rPr>
              <w:t>ub</w:t>
            </w:r>
            <w:r w:rsidR="00EC2412" w:rsidRPr="00EC2412">
              <w:rPr>
                <w:rFonts w:ascii="Aptos" w:hAnsi="Aptos" w:cs="Arial"/>
                <w:i/>
                <w:iCs/>
                <w:sz w:val="20"/>
                <w:szCs w:val="20"/>
              </w:rPr>
              <w:t>runavirus</w:t>
            </w:r>
            <w:r w:rsidR="00F60452">
              <w:rPr>
                <w:rFonts w:ascii="Aptos" w:hAnsi="Aptos" w:cs="Arial"/>
                <w:sz w:val="20"/>
                <w:szCs w:val="20"/>
              </w:rPr>
              <w:t>”</w:t>
            </w:r>
            <w:r w:rsidR="00EC2412">
              <w:rPr>
                <w:rFonts w:ascii="Aptos" w:hAnsi="Aptos" w:cs="Arial"/>
                <w:sz w:val="20"/>
                <w:szCs w:val="20"/>
              </w:rPr>
              <w:t xml:space="preserve"> with</w:t>
            </w:r>
            <w:r w:rsidR="00A824BE">
              <w:rPr>
                <w:rFonts w:ascii="Aptos" w:hAnsi="Aptos" w:cs="Arial"/>
                <w:sz w:val="20"/>
                <w:szCs w:val="20"/>
              </w:rPr>
              <w:t xml:space="preserve"> </w:t>
            </w:r>
            <w:r w:rsidR="00555D2F">
              <w:rPr>
                <w:rFonts w:ascii="Aptos" w:hAnsi="Aptos" w:cs="Arial"/>
                <w:sz w:val="20"/>
                <w:szCs w:val="20"/>
              </w:rPr>
              <w:t>two</w:t>
            </w:r>
            <w:r w:rsidR="00CF1CA9">
              <w:rPr>
                <w:rFonts w:ascii="Aptos" w:hAnsi="Aptos" w:cs="Arial"/>
                <w:sz w:val="20"/>
                <w:szCs w:val="20"/>
              </w:rPr>
              <w:t xml:space="preserve"> </w:t>
            </w:r>
            <w:r w:rsidR="00555D2F">
              <w:rPr>
                <w:rFonts w:ascii="Aptos" w:hAnsi="Aptos" w:cs="Arial"/>
                <w:sz w:val="20"/>
                <w:szCs w:val="20"/>
              </w:rPr>
              <w:t>species</w:t>
            </w:r>
          </w:p>
          <w:p w14:paraId="7B7BADE9" w14:textId="77777777" w:rsidR="00A77B8E" w:rsidRPr="00BE4F5A"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3A9B7E38"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It represents a unique </w:t>
            </w:r>
            <w:r w:rsidR="00EC2412" w:rsidRPr="00555D2F">
              <w:rPr>
                <w:rFonts w:ascii="Aptos" w:hAnsi="Aptos" w:cs="Arial"/>
                <w:i/>
                <w:iCs/>
                <w:sz w:val="20"/>
              </w:rPr>
              <w:t>Nocardia</w:t>
            </w:r>
            <w:r w:rsidR="00ED0350">
              <w:rPr>
                <w:rFonts w:ascii="Aptos" w:hAnsi="Aptos" w:cs="Arial"/>
                <w:sz w:val="20"/>
              </w:rPr>
              <w:t xml:space="preserve"> phage</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707641B9"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03C44C13"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A824BE">
              <w:rPr>
                <w:rFonts w:ascii="Aptos" w:hAnsi="Aptos" w:cs="Arial"/>
                <w:sz w:val="20"/>
                <w:szCs w:val="20"/>
              </w:rPr>
              <w:t>genus</w:t>
            </w:r>
            <w:r w:rsidR="00CF1CA9">
              <w:rPr>
                <w:rFonts w:ascii="Aptos" w:hAnsi="Aptos" w:cs="Arial"/>
                <w:sz w:val="20"/>
                <w:szCs w:val="20"/>
              </w:rPr>
              <w:t xml:space="preserve"> and species</w:t>
            </w: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7CA03B91" w14:textId="77777777" w:rsidR="00EC2412" w:rsidRDefault="00EC2412" w:rsidP="00EC2412">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Pr>
                <w:rFonts w:ascii="Aptos" w:hAnsi="Aptos" w:cs="Arial"/>
                <w:sz w:val="20"/>
                <w:szCs w:val="20"/>
              </w:rPr>
              <w:t xml:space="preserve">As far as we are aware no </w:t>
            </w:r>
            <w:r w:rsidRPr="00F94E9E">
              <w:rPr>
                <w:rFonts w:ascii="Aptos" w:hAnsi="Aptos" w:cs="Arial"/>
                <w:i/>
                <w:iCs/>
                <w:sz w:val="20"/>
                <w:szCs w:val="20"/>
              </w:rPr>
              <w:t>Nocardia</w:t>
            </w:r>
            <w:r>
              <w:rPr>
                <w:rFonts w:ascii="Aptos" w:hAnsi="Aptos" w:cs="Arial"/>
                <w:sz w:val="20"/>
                <w:szCs w:val="20"/>
              </w:rPr>
              <w:t xml:space="preserve"> phages have been classified by ICTV </w:t>
            </w:r>
          </w:p>
          <w:p w14:paraId="2A1A187F" w14:textId="77777777" w:rsidR="00EC2412" w:rsidRPr="00BE4F5A" w:rsidRDefault="00EC2412" w:rsidP="00EC2412">
            <w:pPr>
              <w:rPr>
                <w:rFonts w:ascii="Aptos" w:hAnsi="Aptos" w:cs="Arial"/>
                <w:sz w:val="20"/>
                <w:szCs w:val="20"/>
              </w:rPr>
            </w:pPr>
          </w:p>
          <w:p w14:paraId="462A8C7D" w14:textId="189E7E26" w:rsidR="00EC2412" w:rsidRPr="00BE4F5A" w:rsidRDefault="00EC2412" w:rsidP="00EC241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 xml:space="preserve">To create a new genus </w:t>
            </w:r>
            <w:r w:rsidR="00F60452">
              <w:rPr>
                <w:rFonts w:ascii="Aptos" w:hAnsi="Aptos" w:cs="Arial"/>
                <w:sz w:val="20"/>
                <w:szCs w:val="20"/>
              </w:rPr>
              <w:t>“</w:t>
            </w:r>
            <w:r w:rsidRPr="00EC2412">
              <w:rPr>
                <w:rFonts w:ascii="Aptos" w:hAnsi="Aptos" w:cs="Arial"/>
                <w:i/>
                <w:iCs/>
                <w:sz w:val="20"/>
                <w:szCs w:val="20"/>
              </w:rPr>
              <w:t>N</w:t>
            </w:r>
            <w:r w:rsidR="00555D2F">
              <w:rPr>
                <w:rFonts w:ascii="Aptos" w:hAnsi="Aptos" w:cs="Arial"/>
                <w:i/>
                <w:iCs/>
                <w:sz w:val="20"/>
                <w:szCs w:val="20"/>
              </w:rPr>
              <w:t>ub</w:t>
            </w:r>
            <w:r w:rsidRPr="00EC2412">
              <w:rPr>
                <w:rFonts w:ascii="Aptos" w:hAnsi="Aptos" w:cs="Arial"/>
                <w:i/>
                <w:iCs/>
                <w:sz w:val="20"/>
                <w:szCs w:val="20"/>
              </w:rPr>
              <w:t>runavirus</w:t>
            </w:r>
            <w:r w:rsidR="00F60452">
              <w:rPr>
                <w:rFonts w:ascii="Aptos" w:hAnsi="Aptos" w:cs="Arial"/>
                <w:sz w:val="20"/>
                <w:szCs w:val="20"/>
              </w:rPr>
              <w:t>”</w:t>
            </w:r>
            <w:r>
              <w:rPr>
                <w:rFonts w:ascii="Aptos" w:hAnsi="Aptos" w:cs="Arial"/>
                <w:sz w:val="20"/>
                <w:szCs w:val="20"/>
              </w:rPr>
              <w:t xml:space="preserve"> with </w:t>
            </w:r>
            <w:r w:rsidR="00555D2F">
              <w:rPr>
                <w:rFonts w:ascii="Aptos" w:hAnsi="Aptos" w:cs="Arial"/>
                <w:sz w:val="20"/>
                <w:szCs w:val="20"/>
              </w:rPr>
              <w:t>two species</w:t>
            </w:r>
            <w:r>
              <w:rPr>
                <w:rFonts w:ascii="Aptos" w:hAnsi="Aptos" w:cs="Arial"/>
                <w:sz w:val="20"/>
                <w:szCs w:val="20"/>
              </w:rPr>
              <w:t xml:space="preserve"> </w:t>
            </w:r>
          </w:p>
          <w:p w14:paraId="0ACA8579" w14:textId="77777777" w:rsidR="00A77B8E" w:rsidRPr="00BE4F5A" w:rsidRDefault="00A77B8E" w:rsidP="00DD58AA">
            <w:pPr>
              <w:rPr>
                <w:rFonts w:ascii="Aptos" w:hAnsi="Aptos" w:cs="Arial"/>
                <w:sz w:val="20"/>
                <w:szCs w:val="20"/>
              </w:rPr>
            </w:pPr>
          </w:p>
          <w:p w14:paraId="266FF254" w14:textId="53E4AD20" w:rsidR="00273642" w:rsidRPr="002A1FDF" w:rsidRDefault="00273642" w:rsidP="00555D2F">
            <w:pPr>
              <w:rPr>
                <w:rFonts w:ascii="Aptos" w:hAnsi="Aptos" w:cs="Arial"/>
                <w:iCs/>
                <w:sz w:val="20"/>
                <w:szCs w:val="20"/>
              </w:rPr>
            </w:pPr>
            <w:r>
              <w:rPr>
                <w:rFonts w:ascii="Aptos" w:hAnsi="Aptos" w:cs="Arial"/>
                <w:i/>
                <w:sz w:val="20"/>
                <w:szCs w:val="20"/>
              </w:rPr>
              <w:t>Demarcation criteria</w:t>
            </w:r>
            <w:r w:rsidR="00986609">
              <w:rPr>
                <w:rFonts w:ascii="Aptos" w:hAnsi="Aptos" w:cs="Arial"/>
                <w:i/>
                <w:sz w:val="20"/>
                <w:szCs w:val="20"/>
              </w:rPr>
              <w:t xml:space="preserve">: </w:t>
            </w:r>
            <w:r w:rsidR="00986609" w:rsidRPr="00986609">
              <w:rPr>
                <w:rFonts w:ascii="Aptos" w:hAnsi="Aptos" w:cs="Arial"/>
                <w:iCs/>
                <w:sz w:val="20"/>
                <w:szCs w:val="20"/>
              </w:rPr>
              <w:t>The</w:t>
            </w:r>
            <w:r w:rsidR="002A1FDF" w:rsidRPr="002A1FDF">
              <w:rPr>
                <w:rFonts w:ascii="Aptos" w:hAnsi="Aptos" w:cs="Arial"/>
                <w:iCs/>
                <w:sz w:val="20"/>
                <w:szCs w:val="20"/>
              </w:rPr>
              <w:t xml:space="preserve"> Bacterial and Archaeal Virus Subcommittee </w:t>
            </w:r>
            <w:r w:rsidR="00464000" w:rsidRPr="002A1FDF">
              <w:rPr>
                <w:rFonts w:ascii="Aptos" w:hAnsi="Aptos" w:cs="Arial"/>
                <w:iCs/>
                <w:sz w:val="20"/>
                <w:szCs w:val="20"/>
              </w:rPr>
              <w:t>established 70</w:t>
            </w:r>
            <w:r w:rsidR="002A1FDF" w:rsidRPr="002A1FDF">
              <w:rPr>
                <w:rFonts w:ascii="Aptos" w:hAnsi="Aptos" w:cs="Arial"/>
                <w:iCs/>
                <w:sz w:val="20"/>
                <w:szCs w:val="20"/>
              </w:rPr>
              <w:t>% average nucleotide identity (ANI) threshold for genus classification or 95% ANI for species</w:t>
            </w:r>
            <w:r w:rsidR="002A1FDF">
              <w:rPr>
                <w:rFonts w:ascii="Aptos" w:hAnsi="Aptos" w:cs="Arial"/>
                <w:iCs/>
                <w:sz w:val="20"/>
                <w:szCs w:val="20"/>
              </w:rPr>
              <w:t xml:space="preserve"> [8]</w:t>
            </w:r>
            <w:r w:rsidR="009E305C">
              <w:rPr>
                <w:rFonts w:ascii="Aptos" w:hAnsi="Aptos" w:cs="Arial"/>
                <w:iCs/>
                <w:sz w:val="20"/>
                <w:szCs w:val="20"/>
              </w:rPr>
              <w:t xml:space="preserve">.  BLASTN analysis [1,2] reveals that it </w:t>
            </w:r>
            <w:r w:rsidR="00555D2F">
              <w:rPr>
                <w:rFonts w:ascii="Aptos" w:hAnsi="Aptos" w:cs="Arial"/>
                <w:iCs/>
                <w:sz w:val="20"/>
                <w:szCs w:val="20"/>
              </w:rPr>
              <w:t xml:space="preserve">is peripherally related to </w:t>
            </w:r>
            <w:r w:rsidR="00555D2F" w:rsidRPr="00555D2F">
              <w:rPr>
                <w:rFonts w:ascii="Aptos" w:hAnsi="Aptos" w:cs="Arial"/>
                <w:i/>
                <w:sz w:val="20"/>
                <w:szCs w:val="20"/>
              </w:rPr>
              <w:t>Nymphadoravirus bunnybear</w:t>
            </w:r>
            <w:r w:rsidR="00555D2F" w:rsidRPr="00555D2F">
              <w:rPr>
                <w:rFonts w:ascii="Aptos" w:hAnsi="Aptos" w:cs="Arial"/>
                <w:iCs/>
                <w:sz w:val="20"/>
                <w:szCs w:val="20"/>
              </w:rPr>
              <w:t>.</w:t>
            </w:r>
          </w:p>
          <w:p w14:paraId="239C9D43" w14:textId="77777777"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7F994D36" w:rsidR="00A77B8E" w:rsidRPr="00BE4F5A" w:rsidRDefault="00A77B8E" w:rsidP="00DD58AA">
            <w:pPr>
              <w:rPr>
                <w:rFonts w:ascii="Aptos" w:hAnsi="Aptos" w:cs="Arial"/>
                <w:sz w:val="20"/>
                <w:szCs w:val="20"/>
              </w:rPr>
            </w:pPr>
            <w:r w:rsidRPr="00BE4F5A">
              <w:rPr>
                <w:rFonts w:ascii="Aptos" w:hAnsi="Aptos" w:cs="Arial"/>
                <w:i/>
                <w:sz w:val="20"/>
                <w:szCs w:val="20"/>
              </w:rPr>
              <w:lastRenderedPageBreak/>
              <w:t>Justification</w:t>
            </w:r>
            <w:r w:rsidRPr="00BE4F5A">
              <w:rPr>
                <w:rFonts w:ascii="Aptos" w:hAnsi="Aptos" w:cs="Arial"/>
                <w:sz w:val="20"/>
                <w:szCs w:val="20"/>
              </w:rPr>
              <w:t xml:space="preserve">:      </w:t>
            </w:r>
            <w:r w:rsidR="002A1FDF">
              <w:rPr>
                <w:rFonts w:ascii="Aptos" w:hAnsi="Aptos" w:cs="Arial"/>
                <w:sz w:val="20"/>
                <w:szCs w:val="20"/>
              </w:rPr>
              <w:t>This is a unique, unclassified virus</w:t>
            </w:r>
            <w:r w:rsidR="00ED0350">
              <w:rPr>
                <w:rFonts w:ascii="Aptos" w:hAnsi="Aptos" w:cs="Arial"/>
                <w:sz w:val="20"/>
                <w:szCs w:val="20"/>
              </w:rPr>
              <w:t xml:space="preserve"> against </w:t>
            </w:r>
            <w:r w:rsidR="00EC2412">
              <w:rPr>
                <w:rFonts w:ascii="Aptos" w:hAnsi="Aptos" w:cs="Arial"/>
                <w:i/>
                <w:iCs/>
                <w:sz w:val="20"/>
                <w:szCs w:val="20"/>
              </w:rPr>
              <w:t>Nocardia</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138"/>
        <w:gridCol w:w="5788"/>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2191CFA5"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53E1C036" w:rsidR="00FC2269" w:rsidRPr="00F60452" w:rsidRDefault="00F60452" w:rsidP="005F790F">
            <w:pPr>
              <w:rPr>
                <w:rFonts w:ascii="Aptos Narrow" w:hAnsi="Aptos Narrow"/>
                <w:color w:val="000000"/>
                <w:sz w:val="20"/>
                <w:szCs w:val="20"/>
                <w:lang w:val="en-GB"/>
              </w:rPr>
            </w:pPr>
            <w:r>
              <w:rPr>
                <w:rFonts w:ascii="Aptos Narrow" w:hAnsi="Aptos Narrow"/>
                <w:color w:val="000000"/>
                <w:sz w:val="20"/>
                <w:szCs w:val="20"/>
              </w:rPr>
              <w:t>Nubrunavirus_VIRIDIC_heatmap.xlsx</w:t>
            </w:r>
          </w:p>
        </w:tc>
        <w:tc>
          <w:tcPr>
            <w:tcW w:w="6663" w:type="dxa"/>
          </w:tcPr>
          <w:p w14:paraId="22F4B256" w14:textId="3109A02D" w:rsidR="00FC2269" w:rsidRPr="00C87A3D" w:rsidRDefault="006453B1" w:rsidP="005F790F">
            <w:pPr>
              <w:rPr>
                <w:rFonts w:ascii="Aptos" w:hAnsi="Aptos" w:cs="Arial"/>
                <w:bCs/>
                <w:sz w:val="20"/>
                <w:szCs w:val="20"/>
              </w:rPr>
            </w:pPr>
            <w:r w:rsidRPr="00C87A3D">
              <w:rPr>
                <w:rFonts w:ascii="Aptos" w:hAnsi="Aptos" w:cs="Arial"/>
                <w:bCs/>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4140E1B"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44BBC40F" w:rsidR="00195952" w:rsidRDefault="00FC2269" w:rsidP="00FC2269">
      <w:pPr>
        <w:rPr>
          <w:rFonts w:ascii="Aptos" w:hAnsi="Aptos"/>
        </w:rPr>
      </w:pPr>
      <w:r w:rsidRPr="006C0F51">
        <w:rPr>
          <w:rFonts w:ascii="Aptos" w:hAnsi="Aptos" w:cs="Arial"/>
          <w:color w:val="808080" w:themeColor="background1" w:themeShade="80"/>
          <w:sz w:val="20"/>
        </w:rPr>
        <w:t>&lt;Start here&gt;</w:t>
      </w:r>
    </w:p>
    <w:p w14:paraId="5556E8C1" w14:textId="63FD6F12" w:rsidR="00A174CC" w:rsidRDefault="00F276D0" w:rsidP="00FC2269">
      <w:pPr>
        <w:rPr>
          <w:rFonts w:ascii="Aptos" w:hAnsi="Aptos"/>
          <w:color w:val="0070C0"/>
        </w:rPr>
      </w:pPr>
      <w:r w:rsidRPr="00F276D0">
        <w:rPr>
          <w:rFonts w:ascii="Aptos" w:hAnsi="Aptos"/>
        </w:rPr>
        <w:t>Table 1.  Characteristics of the phage</w:t>
      </w:r>
      <w:r w:rsidR="00555D2F">
        <w:rPr>
          <w:rFonts w:ascii="Aptos" w:hAnsi="Aptos"/>
        </w:rPr>
        <w:t>s</w:t>
      </w:r>
      <w:r w:rsidRPr="00F276D0">
        <w:rPr>
          <w:rFonts w:ascii="Aptos" w:hAnsi="Aptos"/>
        </w:rPr>
        <w:t xml:space="preserve"> described in the proposal</w:t>
      </w:r>
    </w:p>
    <w:tbl>
      <w:tblPr>
        <w:tblStyle w:val="TableGrid"/>
        <w:tblW w:w="0" w:type="auto"/>
        <w:tblInd w:w="-431" w:type="dxa"/>
        <w:tblLook w:val="04A0" w:firstRow="1" w:lastRow="0" w:firstColumn="1" w:lastColumn="0" w:noHBand="0" w:noVBand="1"/>
      </w:tblPr>
      <w:tblGrid>
        <w:gridCol w:w="1713"/>
        <w:gridCol w:w="1568"/>
        <w:gridCol w:w="1315"/>
        <w:gridCol w:w="1149"/>
        <w:gridCol w:w="1358"/>
        <w:gridCol w:w="991"/>
        <w:gridCol w:w="977"/>
        <w:gridCol w:w="683"/>
      </w:tblGrid>
      <w:tr w:rsidR="003B1C3B" w14:paraId="1DD78C39" w14:textId="77777777" w:rsidTr="003E5FCE">
        <w:tc>
          <w:tcPr>
            <w:tcW w:w="1713" w:type="dxa"/>
          </w:tcPr>
          <w:p w14:paraId="61590AA6" w14:textId="5EB53AC9" w:rsidR="00F00E0B" w:rsidRPr="00F00E0B" w:rsidRDefault="00F00E0B" w:rsidP="00FC2269">
            <w:pPr>
              <w:rPr>
                <w:rFonts w:ascii="Aptos" w:hAnsi="Aptos"/>
                <w:b/>
                <w:bCs/>
                <w:sz w:val="20"/>
                <w:szCs w:val="20"/>
              </w:rPr>
            </w:pPr>
            <w:r w:rsidRPr="00F00E0B">
              <w:rPr>
                <w:rFonts w:ascii="Aptos" w:hAnsi="Aptos"/>
                <w:b/>
                <w:bCs/>
                <w:sz w:val="20"/>
                <w:szCs w:val="20"/>
              </w:rPr>
              <w:t>P</w:t>
            </w:r>
            <w:r w:rsidR="0037165B">
              <w:rPr>
                <w:rFonts w:ascii="Aptos" w:hAnsi="Aptos"/>
                <w:b/>
                <w:bCs/>
                <w:sz w:val="20"/>
                <w:szCs w:val="20"/>
              </w:rPr>
              <w:t>rop</w:t>
            </w:r>
            <w:r w:rsidRPr="00F00E0B">
              <w:rPr>
                <w:rFonts w:ascii="Aptos" w:hAnsi="Aptos"/>
                <w:b/>
                <w:bCs/>
                <w:sz w:val="20"/>
                <w:szCs w:val="20"/>
              </w:rPr>
              <w:t>hage name</w:t>
            </w:r>
          </w:p>
        </w:tc>
        <w:tc>
          <w:tcPr>
            <w:tcW w:w="1568" w:type="dxa"/>
          </w:tcPr>
          <w:p w14:paraId="2FFA758C" w14:textId="6FAFA494" w:rsidR="00F00E0B" w:rsidRPr="00F00E0B" w:rsidRDefault="00F00E0B" w:rsidP="00FC2269">
            <w:pPr>
              <w:rPr>
                <w:rFonts w:ascii="Aptos" w:hAnsi="Aptos"/>
                <w:b/>
                <w:bCs/>
                <w:sz w:val="20"/>
                <w:szCs w:val="20"/>
              </w:rPr>
            </w:pPr>
            <w:r w:rsidRPr="00F00E0B">
              <w:rPr>
                <w:rFonts w:ascii="Aptos" w:hAnsi="Aptos"/>
                <w:b/>
                <w:bCs/>
                <w:sz w:val="20"/>
                <w:szCs w:val="20"/>
              </w:rPr>
              <w:t>Host</w:t>
            </w:r>
            <w:r w:rsidR="00F94DEE">
              <w:rPr>
                <w:rFonts w:ascii="Aptos" w:hAnsi="Aptos"/>
                <w:b/>
                <w:bCs/>
                <w:sz w:val="20"/>
                <w:szCs w:val="20"/>
              </w:rPr>
              <w:t>s</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58"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3B1C3B" w14:paraId="7F2E379D" w14:textId="77777777" w:rsidTr="003E5FCE">
        <w:tc>
          <w:tcPr>
            <w:tcW w:w="1713" w:type="dxa"/>
          </w:tcPr>
          <w:p w14:paraId="712B245F" w14:textId="6D6FCF89" w:rsidR="00F00E0B" w:rsidRPr="00CF1CA9" w:rsidRDefault="00EC2412" w:rsidP="00FC2269">
            <w:pPr>
              <w:rPr>
                <w:rFonts w:ascii="Aptos" w:hAnsi="Aptos"/>
                <w:sz w:val="20"/>
                <w:szCs w:val="20"/>
              </w:rPr>
            </w:pPr>
            <w:r>
              <w:rPr>
                <w:rFonts w:ascii="Aptos" w:hAnsi="Aptos"/>
                <w:i/>
                <w:iCs/>
                <w:sz w:val="20"/>
                <w:szCs w:val="20"/>
              </w:rPr>
              <w:t xml:space="preserve">Nocardia </w:t>
            </w:r>
            <w:proofErr w:type="gramStart"/>
            <w:r w:rsidRPr="00F94DEE">
              <w:rPr>
                <w:rFonts w:ascii="Aptos" w:hAnsi="Aptos"/>
                <w:sz w:val="20"/>
                <w:szCs w:val="20"/>
              </w:rPr>
              <w:t>phage</w:t>
            </w:r>
            <w:proofErr w:type="gramEnd"/>
            <w:r w:rsidRPr="00F94DEE">
              <w:rPr>
                <w:rFonts w:ascii="Aptos" w:hAnsi="Aptos"/>
                <w:sz w:val="20"/>
                <w:szCs w:val="20"/>
              </w:rPr>
              <w:t xml:space="preserve"> </w:t>
            </w:r>
            <w:r w:rsidRPr="00EC2412">
              <w:rPr>
                <w:rFonts w:ascii="Aptos" w:hAnsi="Aptos"/>
                <w:sz w:val="20"/>
                <w:szCs w:val="20"/>
              </w:rPr>
              <w:t>N</w:t>
            </w:r>
            <w:r w:rsidR="00555D2F">
              <w:rPr>
                <w:rFonts w:ascii="Aptos" w:hAnsi="Aptos"/>
                <w:sz w:val="20"/>
                <w:szCs w:val="20"/>
              </w:rPr>
              <w:t>BR1</w:t>
            </w:r>
          </w:p>
        </w:tc>
        <w:tc>
          <w:tcPr>
            <w:tcW w:w="1568" w:type="dxa"/>
          </w:tcPr>
          <w:p w14:paraId="1F1F3D29" w14:textId="4BA3BFAF" w:rsidR="00F00E0B" w:rsidRPr="00F94DEE" w:rsidRDefault="00F94DEE" w:rsidP="00FC2269">
            <w:pPr>
              <w:rPr>
                <w:rFonts w:ascii="Aptos" w:hAnsi="Aptos"/>
                <w:i/>
                <w:iCs/>
                <w:sz w:val="20"/>
                <w:szCs w:val="20"/>
              </w:rPr>
            </w:pPr>
            <w:r w:rsidRPr="00F94DEE">
              <w:rPr>
                <w:rFonts w:ascii="Aptos" w:hAnsi="Aptos"/>
                <w:i/>
                <w:iCs/>
                <w:sz w:val="20"/>
                <w:szCs w:val="20"/>
              </w:rPr>
              <w:t xml:space="preserve">Nocardia </w:t>
            </w:r>
            <w:r w:rsidR="00555D2F" w:rsidRPr="00555D2F">
              <w:rPr>
                <w:rFonts w:ascii="Aptos" w:hAnsi="Aptos"/>
                <w:i/>
                <w:iCs/>
                <w:sz w:val="20"/>
                <w:szCs w:val="20"/>
              </w:rPr>
              <w:t>brasiliensis</w:t>
            </w:r>
          </w:p>
        </w:tc>
        <w:tc>
          <w:tcPr>
            <w:tcW w:w="1315" w:type="dxa"/>
          </w:tcPr>
          <w:p w14:paraId="0C7A100F" w14:textId="12F8B42C" w:rsidR="00F00E0B" w:rsidRPr="00F00E0B" w:rsidRDefault="00CF1CA9" w:rsidP="00FC2269">
            <w:pPr>
              <w:rPr>
                <w:rFonts w:ascii="Aptos" w:hAnsi="Aptos"/>
                <w:sz w:val="20"/>
                <w:szCs w:val="20"/>
              </w:rPr>
            </w:pPr>
            <w:r>
              <w:rPr>
                <w:rFonts w:ascii="Aptos" w:hAnsi="Aptos"/>
                <w:sz w:val="20"/>
                <w:szCs w:val="20"/>
              </w:rPr>
              <w:t>Siphovirus</w:t>
            </w:r>
          </w:p>
        </w:tc>
        <w:tc>
          <w:tcPr>
            <w:tcW w:w="1149" w:type="dxa"/>
          </w:tcPr>
          <w:p w14:paraId="41C6D1D6" w14:textId="4A738E57" w:rsidR="00F00E0B" w:rsidRPr="00F00E0B" w:rsidRDefault="00F94DEE" w:rsidP="00FC2269">
            <w:pPr>
              <w:rPr>
                <w:rFonts w:ascii="Aptos" w:hAnsi="Aptos"/>
                <w:sz w:val="20"/>
                <w:szCs w:val="20"/>
              </w:rPr>
            </w:pPr>
            <w:r>
              <w:rPr>
                <w:rFonts w:ascii="Aptos" w:hAnsi="Aptos"/>
                <w:sz w:val="20"/>
                <w:szCs w:val="20"/>
              </w:rPr>
              <w:t>Lytic</w:t>
            </w:r>
          </w:p>
        </w:tc>
        <w:tc>
          <w:tcPr>
            <w:tcW w:w="1358" w:type="dxa"/>
          </w:tcPr>
          <w:p w14:paraId="4C01372D" w14:textId="0A759B58" w:rsidR="00F00E0B" w:rsidRPr="00F00E0B" w:rsidRDefault="00555D2F" w:rsidP="00FC2269">
            <w:pPr>
              <w:rPr>
                <w:rFonts w:ascii="Aptos" w:hAnsi="Aptos"/>
                <w:sz w:val="20"/>
                <w:szCs w:val="20"/>
              </w:rPr>
            </w:pPr>
            <w:r w:rsidRPr="00555D2F">
              <w:rPr>
                <w:rFonts w:ascii="Aptos" w:hAnsi="Aptos"/>
                <w:sz w:val="20"/>
                <w:szCs w:val="20"/>
              </w:rPr>
              <w:t>JN116828.1</w:t>
            </w:r>
          </w:p>
        </w:tc>
        <w:tc>
          <w:tcPr>
            <w:tcW w:w="991" w:type="dxa"/>
          </w:tcPr>
          <w:p w14:paraId="036CD60A" w14:textId="76C11854" w:rsidR="00F00E0B" w:rsidRPr="00F00E0B" w:rsidRDefault="00555D2F" w:rsidP="00FC2269">
            <w:pPr>
              <w:rPr>
                <w:rFonts w:ascii="Aptos" w:hAnsi="Aptos"/>
                <w:sz w:val="20"/>
                <w:szCs w:val="20"/>
              </w:rPr>
            </w:pPr>
            <w:r w:rsidRPr="00555D2F">
              <w:rPr>
                <w:rFonts w:ascii="Aptos" w:hAnsi="Aptos"/>
                <w:sz w:val="20"/>
                <w:szCs w:val="20"/>
              </w:rPr>
              <w:t>46140 bp</w:t>
            </w:r>
          </w:p>
        </w:tc>
        <w:tc>
          <w:tcPr>
            <w:tcW w:w="977" w:type="dxa"/>
          </w:tcPr>
          <w:p w14:paraId="015BE234" w14:textId="77BE2AF3" w:rsidR="00F00E0B" w:rsidRPr="00F00E0B" w:rsidRDefault="00555D2F" w:rsidP="00FC2269">
            <w:pPr>
              <w:rPr>
                <w:rFonts w:ascii="Aptos" w:hAnsi="Aptos"/>
                <w:sz w:val="20"/>
                <w:szCs w:val="20"/>
              </w:rPr>
            </w:pPr>
            <w:r>
              <w:rPr>
                <w:rFonts w:ascii="Aptos" w:hAnsi="Aptos"/>
                <w:sz w:val="20"/>
                <w:szCs w:val="20"/>
              </w:rPr>
              <w:t>68</w:t>
            </w:r>
          </w:p>
        </w:tc>
        <w:tc>
          <w:tcPr>
            <w:tcW w:w="683" w:type="dxa"/>
          </w:tcPr>
          <w:p w14:paraId="3D018A94" w14:textId="0E179F5A" w:rsidR="00F00E0B" w:rsidRPr="00F00E0B" w:rsidRDefault="00555D2F" w:rsidP="00FC2269">
            <w:pPr>
              <w:rPr>
                <w:rFonts w:ascii="Aptos" w:hAnsi="Aptos"/>
                <w:sz w:val="20"/>
                <w:szCs w:val="20"/>
              </w:rPr>
            </w:pPr>
            <w:r>
              <w:rPr>
                <w:rFonts w:ascii="Aptos" w:hAnsi="Aptos"/>
                <w:sz w:val="20"/>
                <w:szCs w:val="20"/>
              </w:rPr>
              <w:t>0</w:t>
            </w:r>
          </w:p>
        </w:tc>
      </w:tr>
      <w:tr w:rsidR="00555D2F" w14:paraId="6250221E" w14:textId="77777777" w:rsidTr="003E5FCE">
        <w:tc>
          <w:tcPr>
            <w:tcW w:w="1713" w:type="dxa"/>
          </w:tcPr>
          <w:p w14:paraId="2B7D3CFE" w14:textId="7F06C628" w:rsidR="00555D2F" w:rsidRDefault="00555D2F" w:rsidP="00FC2269">
            <w:pPr>
              <w:rPr>
                <w:rFonts w:ascii="Aptos" w:hAnsi="Aptos"/>
                <w:i/>
                <w:iCs/>
                <w:sz w:val="20"/>
                <w:szCs w:val="20"/>
              </w:rPr>
            </w:pPr>
            <w:r w:rsidRPr="00555D2F">
              <w:rPr>
                <w:rFonts w:ascii="Aptos" w:hAnsi="Aptos"/>
                <w:sz w:val="20"/>
                <w:szCs w:val="20"/>
              </w:rPr>
              <w:t>Nocardia phage</w:t>
            </w:r>
            <w:r w:rsidRPr="00555D2F">
              <w:rPr>
                <w:rFonts w:ascii="Aptos" w:hAnsi="Aptos"/>
                <w:i/>
                <w:iCs/>
                <w:sz w:val="20"/>
                <w:szCs w:val="20"/>
              </w:rPr>
              <w:t xml:space="preserve"> KYD2</w:t>
            </w:r>
          </w:p>
        </w:tc>
        <w:tc>
          <w:tcPr>
            <w:tcW w:w="1568" w:type="dxa"/>
          </w:tcPr>
          <w:p w14:paraId="7E99A7A6" w14:textId="69175B15" w:rsidR="00555D2F" w:rsidRPr="00F94DEE" w:rsidRDefault="009642A5" w:rsidP="00FC2269">
            <w:pPr>
              <w:rPr>
                <w:rFonts w:ascii="Aptos" w:hAnsi="Aptos"/>
                <w:i/>
                <w:iCs/>
                <w:sz w:val="20"/>
                <w:szCs w:val="20"/>
              </w:rPr>
            </w:pPr>
            <w:r w:rsidRPr="009642A5">
              <w:rPr>
                <w:rFonts w:ascii="Aptos" w:hAnsi="Aptos"/>
                <w:i/>
                <w:iCs/>
                <w:sz w:val="20"/>
                <w:szCs w:val="20"/>
              </w:rPr>
              <w:t>Nocardia carnea</w:t>
            </w:r>
          </w:p>
        </w:tc>
        <w:tc>
          <w:tcPr>
            <w:tcW w:w="1315" w:type="dxa"/>
          </w:tcPr>
          <w:p w14:paraId="67C1982B" w14:textId="1EC3E8BE" w:rsidR="00555D2F" w:rsidRDefault="009642A5" w:rsidP="00FC2269">
            <w:pPr>
              <w:rPr>
                <w:rFonts w:ascii="Aptos" w:hAnsi="Aptos"/>
                <w:sz w:val="20"/>
                <w:szCs w:val="20"/>
              </w:rPr>
            </w:pPr>
            <w:r>
              <w:rPr>
                <w:rFonts w:ascii="Aptos" w:hAnsi="Aptos"/>
                <w:sz w:val="20"/>
                <w:szCs w:val="20"/>
              </w:rPr>
              <w:t>Siphovirus</w:t>
            </w:r>
          </w:p>
        </w:tc>
        <w:tc>
          <w:tcPr>
            <w:tcW w:w="1149" w:type="dxa"/>
          </w:tcPr>
          <w:p w14:paraId="08F7960C" w14:textId="0ECA46B1" w:rsidR="00555D2F" w:rsidRDefault="009642A5" w:rsidP="00FC2269">
            <w:pPr>
              <w:rPr>
                <w:rFonts w:ascii="Aptos" w:hAnsi="Aptos"/>
                <w:sz w:val="20"/>
                <w:szCs w:val="20"/>
              </w:rPr>
            </w:pPr>
            <w:r>
              <w:rPr>
                <w:rFonts w:ascii="Aptos" w:hAnsi="Aptos"/>
                <w:sz w:val="20"/>
                <w:szCs w:val="20"/>
              </w:rPr>
              <w:t>Lytic</w:t>
            </w:r>
          </w:p>
        </w:tc>
        <w:tc>
          <w:tcPr>
            <w:tcW w:w="1358" w:type="dxa"/>
          </w:tcPr>
          <w:p w14:paraId="1D43F778" w14:textId="776B2A5D" w:rsidR="00555D2F" w:rsidRPr="00555D2F" w:rsidRDefault="009642A5" w:rsidP="00FC2269">
            <w:pPr>
              <w:rPr>
                <w:rFonts w:ascii="Aptos" w:hAnsi="Aptos"/>
                <w:sz w:val="20"/>
                <w:szCs w:val="20"/>
              </w:rPr>
            </w:pPr>
            <w:r w:rsidRPr="009642A5">
              <w:rPr>
                <w:rFonts w:ascii="Aptos" w:hAnsi="Aptos"/>
                <w:sz w:val="20"/>
                <w:szCs w:val="20"/>
              </w:rPr>
              <w:t>MW654182.1</w:t>
            </w:r>
          </w:p>
        </w:tc>
        <w:tc>
          <w:tcPr>
            <w:tcW w:w="991" w:type="dxa"/>
          </w:tcPr>
          <w:p w14:paraId="53797768" w14:textId="2714ED41" w:rsidR="00555D2F" w:rsidRPr="00555D2F" w:rsidRDefault="009642A5" w:rsidP="00FC2269">
            <w:pPr>
              <w:rPr>
                <w:rFonts w:ascii="Aptos" w:hAnsi="Aptos"/>
                <w:sz w:val="20"/>
                <w:szCs w:val="20"/>
              </w:rPr>
            </w:pPr>
            <w:r w:rsidRPr="009642A5">
              <w:rPr>
                <w:rFonts w:ascii="Aptos" w:hAnsi="Aptos"/>
                <w:sz w:val="20"/>
                <w:szCs w:val="20"/>
              </w:rPr>
              <w:t>46380 bp</w:t>
            </w:r>
          </w:p>
        </w:tc>
        <w:tc>
          <w:tcPr>
            <w:tcW w:w="977" w:type="dxa"/>
          </w:tcPr>
          <w:p w14:paraId="75E6AF30" w14:textId="3EF3C88B" w:rsidR="00555D2F" w:rsidRDefault="009642A5" w:rsidP="00FC2269">
            <w:pPr>
              <w:rPr>
                <w:rFonts w:ascii="Aptos" w:hAnsi="Aptos"/>
                <w:sz w:val="20"/>
                <w:szCs w:val="20"/>
              </w:rPr>
            </w:pPr>
            <w:r>
              <w:rPr>
                <w:rFonts w:ascii="Aptos" w:hAnsi="Aptos"/>
                <w:sz w:val="20"/>
                <w:szCs w:val="20"/>
              </w:rPr>
              <w:t>70</w:t>
            </w:r>
          </w:p>
        </w:tc>
        <w:tc>
          <w:tcPr>
            <w:tcW w:w="683" w:type="dxa"/>
          </w:tcPr>
          <w:p w14:paraId="2DDBBF8C" w14:textId="29614301" w:rsidR="00555D2F" w:rsidRDefault="009642A5" w:rsidP="00FC2269">
            <w:pPr>
              <w:rPr>
                <w:rFonts w:ascii="Aptos" w:hAnsi="Aptos"/>
                <w:sz w:val="20"/>
                <w:szCs w:val="20"/>
              </w:rPr>
            </w:pPr>
            <w:r>
              <w:rPr>
                <w:rFonts w:ascii="Aptos" w:hAnsi="Aptos"/>
                <w:sz w:val="20"/>
                <w:szCs w:val="20"/>
              </w:rPr>
              <w:t>0</w:t>
            </w:r>
          </w:p>
        </w:tc>
      </w:tr>
    </w:tbl>
    <w:p w14:paraId="22C2762D" w14:textId="251A8E16" w:rsidR="009C447F" w:rsidRDefault="009C447F" w:rsidP="00FC2269">
      <w:pPr>
        <w:rPr>
          <w:rFonts w:ascii="Aptos" w:eastAsia="Aptos" w:hAnsi="Aptos" w:cs="Aptos"/>
        </w:rPr>
      </w:pPr>
    </w:p>
    <w:p w14:paraId="13987B61" w14:textId="77777777" w:rsidR="00F82C4D" w:rsidRDefault="00F82C4D" w:rsidP="009C447F">
      <w:pPr>
        <w:rPr>
          <w:rFonts w:ascii="Aptos" w:eastAsia="Aptos" w:hAnsi="Aptos" w:cs="Aptos"/>
        </w:rPr>
      </w:pPr>
    </w:p>
    <w:p w14:paraId="66E54F39" w14:textId="6473B0CA" w:rsidR="00BB2CE8" w:rsidRDefault="00BB2CE8" w:rsidP="009C447F">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20B049B" wp14:editId="4AB0E3A3">
                <wp:simplePos x="0" y="0"/>
                <wp:positionH relativeFrom="column">
                  <wp:posOffset>5829300</wp:posOffset>
                </wp:positionH>
                <wp:positionV relativeFrom="paragraph">
                  <wp:posOffset>1619250</wp:posOffset>
                </wp:positionV>
                <wp:extent cx="450850" cy="711200"/>
                <wp:effectExtent l="41275" t="15875" r="28575" b="47625"/>
                <wp:wrapNone/>
                <wp:docPr id="1767443853"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5F78CDB">
              <v:shapetype id="_x0000_t5" coordsize="21600,21600" o:spt="5" adj="10800" path="m@0,l,21600r21600,xe" w14:anchorId="3CED88CB">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 style="position:absolute;margin-left:459pt;margin-top:127.5pt;width:35.5pt;height:56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0" strokecolor="#e00"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"/>
            </w:pict>
          </mc:Fallback>
        </mc:AlternateContent>
      </w:r>
      <w:r>
        <w:rPr>
          <w:rFonts w:ascii="Aptos" w:eastAsia="Aptos" w:hAnsi="Aptos" w:cs="Aptos"/>
          <w:noProof/>
        </w:rPr>
        <w:drawing>
          <wp:inline distT="0" distB="0" distL="0" distR="0" wp14:anchorId="549C544E" wp14:editId="41587E6A">
            <wp:extent cx="5926455" cy="3143885"/>
            <wp:effectExtent l="0" t="0" r="0" b="0"/>
            <wp:docPr id="2044804412" name="Picture 1"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04412" name="Picture 1"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143885"/>
                    </a:xfrm>
                    <a:prstGeom prst="rect">
                      <a:avLst/>
                    </a:prstGeom>
                  </pic:spPr>
                </pic:pic>
              </a:graphicData>
            </a:graphic>
          </wp:inline>
        </w:drawing>
      </w:r>
    </w:p>
    <w:p w14:paraId="28D77C99" w14:textId="0AB6D918" w:rsidR="00BB2CE8" w:rsidRDefault="00BB2CE8" w:rsidP="009C447F">
      <w:pPr>
        <w:rPr>
          <w:rFonts w:ascii="Aptos" w:eastAsia="Aptos" w:hAnsi="Aptos" w:cs="Aptos"/>
        </w:rPr>
      </w:pPr>
    </w:p>
    <w:p w14:paraId="42A52A80" w14:textId="1B30E415" w:rsidR="00BB2CE8" w:rsidRDefault="00BB2CE8" w:rsidP="00BB2CE8">
      <w:pPr>
        <w:rPr>
          <w:rFonts w:ascii="Aptos" w:eastAsia="Aptos" w:hAnsi="Aptos" w:cs="Aptos"/>
        </w:rPr>
      </w:pPr>
      <w:r w:rsidRPr="008230C9">
        <w:rPr>
          <w:rFonts w:ascii="Aptos" w:hAnsi="Aptos"/>
          <w:b/>
          <w:bCs/>
        </w:rPr>
        <w:t>Figure 1.</w:t>
      </w:r>
      <w:r w:rsidRPr="59BD7971">
        <w:rPr>
          <w:rFonts w:ascii="Aptos" w:hAnsi="Aptos"/>
        </w:rPr>
        <w:t xml:space="preserve"> VIRIDIC heat map of </w:t>
      </w:r>
      <w:r>
        <w:rPr>
          <w:rFonts w:ascii="Aptos" w:hAnsi="Aptos"/>
        </w:rPr>
        <w:t xml:space="preserve">a group of phages with the one under discussion indicated with a red arrowhead.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black correspond to strains. </w:t>
      </w:r>
      <w:r>
        <w:rPr>
          <w:rFonts w:ascii="Aptos" w:eastAsia="Aptos" w:hAnsi="Aptos" w:cs="Aptos"/>
        </w:rPr>
        <w:t xml:space="preserve"> Abbreviations: Noca = </w:t>
      </w:r>
      <w:r w:rsidRPr="00BB2CE8">
        <w:rPr>
          <w:rFonts w:ascii="Aptos" w:eastAsia="Aptos" w:hAnsi="Aptos" w:cs="Aptos"/>
          <w:i/>
          <w:iCs/>
        </w:rPr>
        <w:t>Nocardia</w:t>
      </w:r>
      <w:r>
        <w:rPr>
          <w:rFonts w:ascii="Aptos" w:eastAsia="Aptos" w:hAnsi="Aptos" w:cs="Aptos"/>
        </w:rPr>
        <w:t>; phg = phage.</w:t>
      </w:r>
    </w:p>
    <w:p w14:paraId="6E8014A7" w14:textId="1AD47AB2" w:rsidR="00BB2CE8" w:rsidRDefault="00BB2CE8" w:rsidP="009C447F">
      <w:pPr>
        <w:rPr>
          <w:rFonts w:ascii="Aptos" w:eastAsia="Aptos" w:hAnsi="Aptos" w:cs="Aptos"/>
        </w:rPr>
      </w:pPr>
    </w:p>
    <w:p w14:paraId="3C98D954" w14:textId="146ED508" w:rsidR="00F82C4D" w:rsidRDefault="009642A5" w:rsidP="00195952">
      <w:pPr>
        <w:jc w:val="center"/>
        <w:rPr>
          <w:rFonts w:ascii="Aptos" w:eastAsia="Aptos" w:hAnsi="Aptos" w:cs="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76E98CC1" wp14:editId="790936F8">
                <wp:simplePos x="0" y="0"/>
                <wp:positionH relativeFrom="margin">
                  <wp:posOffset>4542155</wp:posOffset>
                </wp:positionH>
                <wp:positionV relativeFrom="paragraph">
                  <wp:posOffset>1287145</wp:posOffset>
                </wp:positionV>
                <wp:extent cx="450850" cy="711200"/>
                <wp:effectExtent l="41275" t="15875" r="28575" b="47625"/>
                <wp:wrapNone/>
                <wp:docPr id="1383107105"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EDBB252">
              <v:shape id="Isosceles Triangle 2" style="position:absolute;margin-left:357.65pt;margin-top:101.35pt;width:35.5pt;height:56pt;rotation:-90;z-index:25166131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e00" strokecolor="#e00"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" w14:anchorId="6234DE83">
                <w10:wrap anchorx="margin"/>
              </v:shape>
            </w:pict>
          </mc:Fallback>
        </mc:AlternateContent>
      </w:r>
      <w:r w:rsidR="00194CE9">
        <w:rPr>
          <w:rFonts w:ascii="Aptos" w:eastAsia="Aptos" w:hAnsi="Aptos" w:cs="Aptos"/>
          <w:noProof/>
        </w:rPr>
        <w:drawing>
          <wp:inline distT="0" distB="0" distL="0" distR="0" wp14:anchorId="5935AB10" wp14:editId="4D1785A3">
            <wp:extent cx="5926455" cy="1497965"/>
            <wp:effectExtent l="0" t="0" r="0" b="6985"/>
            <wp:docPr id="1786690508"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90508" name="Picture 3" descr="A close-up of a documen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497965"/>
                    </a:xfrm>
                    <a:prstGeom prst="rect">
                      <a:avLst/>
                    </a:prstGeom>
                  </pic:spPr>
                </pic:pic>
              </a:graphicData>
            </a:graphic>
          </wp:inline>
        </w:drawing>
      </w:r>
      <w:r w:rsidR="00194CE9">
        <w:rPr>
          <w:rFonts w:ascii="Aptos" w:eastAsia="Aptos" w:hAnsi="Aptos" w:cs="Aptos"/>
        </w:rPr>
        <w:br/>
      </w:r>
      <w:r>
        <w:rPr>
          <w:rFonts w:ascii="Aptos" w:eastAsia="Aptos" w:hAnsi="Aptos" w:cs="Aptos"/>
          <w:noProof/>
        </w:rPr>
        <w:drawing>
          <wp:inline distT="0" distB="0" distL="0" distR="0" wp14:anchorId="1DA96092" wp14:editId="10F97559">
            <wp:extent cx="5981700" cy="908050"/>
            <wp:effectExtent l="0" t="0" r="0" b="6350"/>
            <wp:docPr id="935131203" name="Picture 3"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31203" name="Picture 3" descr="A close-up of a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81700" cy="908050"/>
                    </a:xfrm>
                    <a:prstGeom prst="rect">
                      <a:avLst/>
                    </a:prstGeom>
                  </pic:spPr>
                </pic:pic>
              </a:graphicData>
            </a:graphic>
          </wp:inline>
        </w:drawing>
      </w:r>
    </w:p>
    <w:p w14:paraId="64B01F71" w14:textId="135A4608" w:rsidR="008230C9" w:rsidRDefault="008230C9" w:rsidP="008230C9">
      <w:pPr>
        <w:rPr>
          <w:rFonts w:ascii="Aptos" w:hAnsi="Aptos" w:cs="Arial"/>
        </w:rPr>
      </w:pPr>
      <w:r w:rsidRPr="00C04D61">
        <w:rPr>
          <w:rFonts w:ascii="Aptos" w:hAnsi="Aptos" w:cs="Arial"/>
          <w:b/>
        </w:rPr>
        <w:t>Figure 2</w:t>
      </w:r>
      <w:r>
        <w:rPr>
          <w:rFonts w:ascii="Aptos" w:hAnsi="Aptos" w:cs="Arial"/>
          <w:b/>
        </w:rPr>
        <w:t>.</w:t>
      </w:r>
      <w:r w:rsidRPr="00C04D61">
        <w:rPr>
          <w:rFonts w:ascii="Aptos" w:hAnsi="Aptos" w:cs="Arial"/>
          <w:b/>
        </w:rPr>
        <w:t xml:space="preserve"> </w:t>
      </w:r>
      <w:r w:rsidRPr="00D44F22">
        <w:rPr>
          <w:rFonts w:ascii="Aptos" w:hAnsi="Aptos" w:cs="Arial"/>
          <w:bCs/>
        </w:rPr>
        <w:t>ViPTree analysis</w:t>
      </w:r>
      <w:r w:rsidRPr="00D44F22">
        <w:rPr>
          <w:rFonts w:ascii="Aptos" w:hAnsi="Aptos" w:cs="Arial"/>
          <w:lang w:val="en-GB"/>
        </w:rPr>
        <w:t xml:space="preserve"> (</w:t>
      </w:r>
      <w:hyperlink r:id="rId15" w:history="1">
        <w:r w:rsidRPr="00D44F22">
          <w:rPr>
            <w:rStyle w:val="Hyperlink"/>
            <w:rFonts w:ascii="Aptos" w:eastAsia="Times" w:hAnsi="Aptos" w:cs="Arial"/>
            <w:lang w:val="en-GB"/>
          </w:rPr>
          <w:t>https://www.genome.jp/viptree/</w:t>
        </w:r>
      </w:hyperlink>
      <w:r w:rsidRPr="00D44F22">
        <w:rPr>
          <w:rFonts w:ascii="Aptos" w:hAnsi="Aptos" w:cs="Arial"/>
          <w:lang w:val="en-GB"/>
        </w:rPr>
        <w:t xml:space="preserve">; [4]) is based upon Rohwer and Edwards (2002) Phage Proteomic Tree [5].  The phage of interest </w:t>
      </w:r>
      <w:r w:rsidR="006C34EA">
        <w:rPr>
          <w:rFonts w:ascii="Aptos" w:hAnsi="Aptos" w:cs="Arial"/>
          <w:lang w:val="en-GB"/>
        </w:rPr>
        <w:t>is</w:t>
      </w:r>
      <w:r w:rsidRPr="00D44F22">
        <w:rPr>
          <w:rFonts w:ascii="Aptos" w:hAnsi="Aptos" w:cs="Arial"/>
          <w:lang w:val="en-GB"/>
        </w:rPr>
        <w:t xml:space="preserve"> </w:t>
      </w:r>
      <w:r w:rsidRPr="00D44F22">
        <w:rPr>
          <w:rFonts w:ascii="Aptos" w:hAnsi="Aptos" w:cs="Arial"/>
        </w:rPr>
        <w:t xml:space="preserve">indicated with </w:t>
      </w:r>
      <w:r w:rsidRPr="00D44F22">
        <w:rPr>
          <w:rFonts w:ascii="Aptos" w:hAnsi="Aptos" w:cs="Arial"/>
          <w:b/>
          <w:bCs/>
          <w:color w:val="FF0000"/>
        </w:rPr>
        <w:t xml:space="preserve">red </w:t>
      </w:r>
      <w:r>
        <w:rPr>
          <w:rFonts w:ascii="Aptos" w:hAnsi="Aptos" w:cs="Arial"/>
          <w:b/>
          <w:bCs/>
          <w:color w:val="FF0000"/>
        </w:rPr>
        <w:t>arrowhead</w:t>
      </w:r>
      <w:r w:rsidRPr="00D44F22">
        <w:rPr>
          <w:rFonts w:ascii="Aptos" w:hAnsi="Aptos" w:cs="Arial"/>
        </w:rPr>
        <w:t xml:space="preserve">.  </w:t>
      </w:r>
      <w:r w:rsidRPr="00687C2C">
        <w:rPr>
          <w:rFonts w:ascii="Aptos" w:hAnsi="Aptos" w:cs="Arial"/>
        </w:rPr>
        <w:t xml:space="preserve">Abbreviations: </w:t>
      </w:r>
      <w:r>
        <w:rPr>
          <w:rFonts w:ascii="Aptos" w:hAnsi="Aptos" w:cs="Arial"/>
        </w:rPr>
        <w:t>Noca</w:t>
      </w:r>
      <w:r w:rsidRPr="00687C2C">
        <w:rPr>
          <w:rFonts w:ascii="Aptos" w:hAnsi="Aptos" w:cs="Arial"/>
        </w:rPr>
        <w:t xml:space="preserve"> = </w:t>
      </w:r>
      <w:r>
        <w:rPr>
          <w:rFonts w:ascii="Aptos" w:hAnsi="Aptos" w:cs="Arial"/>
          <w:i/>
          <w:iCs/>
        </w:rPr>
        <w:t>Nocardia</w:t>
      </w:r>
      <w:r w:rsidRPr="00687C2C">
        <w:rPr>
          <w:rFonts w:ascii="Aptos" w:hAnsi="Aptos" w:cs="Arial"/>
        </w:rPr>
        <w:t xml:space="preserve">; phg = phage.  </w:t>
      </w:r>
    </w:p>
    <w:p w14:paraId="485EFBB8" w14:textId="3613108E" w:rsidR="009C447F" w:rsidRPr="00F110F7" w:rsidRDefault="009C447F" w:rsidP="00FC2269">
      <w:pPr>
        <w:rPr>
          <w:rFonts w:ascii="Aptos" w:hAnsi="Aptos"/>
          <w:color w:val="0070C0"/>
        </w:rPr>
      </w:pPr>
    </w:p>
    <w:sectPr w:rsidR="009C447F" w:rsidRPr="00F110F7"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673DA" w14:textId="77777777" w:rsidR="00731FCE" w:rsidRDefault="00731FCE">
      <w:r>
        <w:separator/>
      </w:r>
    </w:p>
  </w:endnote>
  <w:endnote w:type="continuationSeparator" w:id="0">
    <w:p w14:paraId="1A5EE3F8" w14:textId="77777777" w:rsidR="00731FCE" w:rsidRDefault="0073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CC72" w14:textId="77777777" w:rsidR="00731FCE" w:rsidRDefault="00731FCE">
      <w:r>
        <w:separator/>
      </w:r>
    </w:p>
  </w:footnote>
  <w:footnote w:type="continuationSeparator" w:id="0">
    <w:p w14:paraId="72F1005F" w14:textId="77777777" w:rsidR="00731FCE" w:rsidRDefault="00731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71083"/>
    <w:rsid w:val="00172351"/>
    <w:rsid w:val="00194CE9"/>
    <w:rsid w:val="00195952"/>
    <w:rsid w:val="001D0007"/>
    <w:rsid w:val="001D3E3E"/>
    <w:rsid w:val="00220A26"/>
    <w:rsid w:val="002312CE"/>
    <w:rsid w:val="0023149A"/>
    <w:rsid w:val="0023696B"/>
    <w:rsid w:val="0024086E"/>
    <w:rsid w:val="00242E77"/>
    <w:rsid w:val="0025498B"/>
    <w:rsid w:val="00273642"/>
    <w:rsid w:val="00296DA3"/>
    <w:rsid w:val="002A1FDF"/>
    <w:rsid w:val="002A5A83"/>
    <w:rsid w:val="002B0192"/>
    <w:rsid w:val="002C028D"/>
    <w:rsid w:val="002D4340"/>
    <w:rsid w:val="00327E73"/>
    <w:rsid w:val="00333392"/>
    <w:rsid w:val="00355CE0"/>
    <w:rsid w:val="00363A30"/>
    <w:rsid w:val="0037165B"/>
    <w:rsid w:val="0037243A"/>
    <w:rsid w:val="00382FE8"/>
    <w:rsid w:val="00383BBF"/>
    <w:rsid w:val="0038593F"/>
    <w:rsid w:val="003A166F"/>
    <w:rsid w:val="003A18C5"/>
    <w:rsid w:val="003A5ED7"/>
    <w:rsid w:val="003B0883"/>
    <w:rsid w:val="003B1C3B"/>
    <w:rsid w:val="003B1D1B"/>
    <w:rsid w:val="003B3832"/>
    <w:rsid w:val="003C5428"/>
    <w:rsid w:val="003E5FCE"/>
    <w:rsid w:val="003E70A0"/>
    <w:rsid w:val="003F2A97"/>
    <w:rsid w:val="003F5FD1"/>
    <w:rsid w:val="0043110C"/>
    <w:rsid w:val="00437970"/>
    <w:rsid w:val="00464000"/>
    <w:rsid w:val="00471256"/>
    <w:rsid w:val="00485AB4"/>
    <w:rsid w:val="004A1436"/>
    <w:rsid w:val="004F2F1E"/>
    <w:rsid w:val="004F3196"/>
    <w:rsid w:val="00536426"/>
    <w:rsid w:val="00543F86"/>
    <w:rsid w:val="00544377"/>
    <w:rsid w:val="0055461D"/>
    <w:rsid w:val="00555D2F"/>
    <w:rsid w:val="00563D4C"/>
    <w:rsid w:val="005660C9"/>
    <w:rsid w:val="00582F3B"/>
    <w:rsid w:val="0058465A"/>
    <w:rsid w:val="00590DF3"/>
    <w:rsid w:val="005A54C3"/>
    <w:rsid w:val="005B4C7D"/>
    <w:rsid w:val="006043FB"/>
    <w:rsid w:val="00607227"/>
    <w:rsid w:val="006109F7"/>
    <w:rsid w:val="006141CA"/>
    <w:rsid w:val="006453B1"/>
    <w:rsid w:val="00647814"/>
    <w:rsid w:val="0067795B"/>
    <w:rsid w:val="00683D0C"/>
    <w:rsid w:val="0069192D"/>
    <w:rsid w:val="006B4EDE"/>
    <w:rsid w:val="006B7AB8"/>
    <w:rsid w:val="006C0F51"/>
    <w:rsid w:val="006C34EA"/>
    <w:rsid w:val="006D18F6"/>
    <w:rsid w:val="006D30E3"/>
    <w:rsid w:val="006D428E"/>
    <w:rsid w:val="006E4357"/>
    <w:rsid w:val="00723577"/>
    <w:rsid w:val="0072682D"/>
    <w:rsid w:val="00731FCE"/>
    <w:rsid w:val="00736440"/>
    <w:rsid w:val="00737875"/>
    <w:rsid w:val="00740A3F"/>
    <w:rsid w:val="00741880"/>
    <w:rsid w:val="00772160"/>
    <w:rsid w:val="00781CBB"/>
    <w:rsid w:val="007B0F70"/>
    <w:rsid w:val="007B6511"/>
    <w:rsid w:val="007E0EF5"/>
    <w:rsid w:val="007E667B"/>
    <w:rsid w:val="00822B3A"/>
    <w:rsid w:val="008230C9"/>
    <w:rsid w:val="00824208"/>
    <w:rsid w:val="008308A0"/>
    <w:rsid w:val="00836163"/>
    <w:rsid w:val="00852D43"/>
    <w:rsid w:val="00865726"/>
    <w:rsid w:val="008815EE"/>
    <w:rsid w:val="00883A5C"/>
    <w:rsid w:val="008A22E9"/>
    <w:rsid w:val="008B43B1"/>
    <w:rsid w:val="008F51E2"/>
    <w:rsid w:val="00901EBC"/>
    <w:rsid w:val="00903048"/>
    <w:rsid w:val="009078FF"/>
    <w:rsid w:val="009457C8"/>
    <w:rsid w:val="00953FFE"/>
    <w:rsid w:val="009642A5"/>
    <w:rsid w:val="00964F7C"/>
    <w:rsid w:val="009703AF"/>
    <w:rsid w:val="00974174"/>
    <w:rsid w:val="009741D1"/>
    <w:rsid w:val="00974C28"/>
    <w:rsid w:val="00976E37"/>
    <w:rsid w:val="00986609"/>
    <w:rsid w:val="009A2D16"/>
    <w:rsid w:val="009A3B4A"/>
    <w:rsid w:val="009C41B8"/>
    <w:rsid w:val="009C447F"/>
    <w:rsid w:val="009E305C"/>
    <w:rsid w:val="009F58DA"/>
    <w:rsid w:val="009F7856"/>
    <w:rsid w:val="00A10BA1"/>
    <w:rsid w:val="00A174CC"/>
    <w:rsid w:val="00A2357C"/>
    <w:rsid w:val="00A3391C"/>
    <w:rsid w:val="00A443CA"/>
    <w:rsid w:val="00A553FE"/>
    <w:rsid w:val="00A77B8E"/>
    <w:rsid w:val="00A817A9"/>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35CC8"/>
    <w:rsid w:val="00B47589"/>
    <w:rsid w:val="00B62982"/>
    <w:rsid w:val="00B762CB"/>
    <w:rsid w:val="00B80910"/>
    <w:rsid w:val="00BB2CE8"/>
    <w:rsid w:val="00BD6C0B"/>
    <w:rsid w:val="00BD7967"/>
    <w:rsid w:val="00BE4F5A"/>
    <w:rsid w:val="00C15881"/>
    <w:rsid w:val="00C55633"/>
    <w:rsid w:val="00C621EE"/>
    <w:rsid w:val="00C7480B"/>
    <w:rsid w:val="00C8775F"/>
    <w:rsid w:val="00C87A3D"/>
    <w:rsid w:val="00C95FB7"/>
    <w:rsid w:val="00CA12B7"/>
    <w:rsid w:val="00CB1202"/>
    <w:rsid w:val="00CD2C82"/>
    <w:rsid w:val="00CF1CA9"/>
    <w:rsid w:val="00CF59EA"/>
    <w:rsid w:val="00D04287"/>
    <w:rsid w:val="00D062BE"/>
    <w:rsid w:val="00D10857"/>
    <w:rsid w:val="00D13AD5"/>
    <w:rsid w:val="00D23567"/>
    <w:rsid w:val="00D46663"/>
    <w:rsid w:val="00D51D67"/>
    <w:rsid w:val="00D55443"/>
    <w:rsid w:val="00D77E1C"/>
    <w:rsid w:val="00D820A5"/>
    <w:rsid w:val="00DA3721"/>
    <w:rsid w:val="00DB1892"/>
    <w:rsid w:val="00DD4FE7"/>
    <w:rsid w:val="00DD58AA"/>
    <w:rsid w:val="00DE01F5"/>
    <w:rsid w:val="00E034BE"/>
    <w:rsid w:val="00E204BF"/>
    <w:rsid w:val="00E37077"/>
    <w:rsid w:val="00E50727"/>
    <w:rsid w:val="00E863D4"/>
    <w:rsid w:val="00E969AE"/>
    <w:rsid w:val="00EA149C"/>
    <w:rsid w:val="00EC2412"/>
    <w:rsid w:val="00ED0350"/>
    <w:rsid w:val="00ED3787"/>
    <w:rsid w:val="00ED4569"/>
    <w:rsid w:val="00EE484F"/>
    <w:rsid w:val="00EF2448"/>
    <w:rsid w:val="00F00E0B"/>
    <w:rsid w:val="00F110F7"/>
    <w:rsid w:val="00F15498"/>
    <w:rsid w:val="00F276D0"/>
    <w:rsid w:val="00F60452"/>
    <w:rsid w:val="00F62692"/>
    <w:rsid w:val="00F711CE"/>
    <w:rsid w:val="00F74510"/>
    <w:rsid w:val="00F82C4D"/>
    <w:rsid w:val="00F9028E"/>
    <w:rsid w:val="00F911F1"/>
    <w:rsid w:val="00F943F9"/>
    <w:rsid w:val="00F94DEE"/>
    <w:rsid w:val="00F94E9E"/>
    <w:rsid w:val="00F976DD"/>
    <w:rsid w:val="00FA1DC3"/>
    <w:rsid w:val="00FB300C"/>
    <w:rsid w:val="00FC2269"/>
    <w:rsid w:val="00FE68CD"/>
    <w:rsid w:val="00FF4171"/>
    <w:rsid w:val="125759CB"/>
    <w:rsid w:val="5018D50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8927046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67919658">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48</cp:revision>
  <dcterms:created xsi:type="dcterms:W3CDTF">2025-03-25T08:46:00Z</dcterms:created>
  <dcterms:modified xsi:type="dcterms:W3CDTF">2025-07-16T09:23:00Z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