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E65BC20"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54929AC"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r w:rsidR="00544377" w:rsidRPr="00FB5632">
              <w:rPr>
                <w:rFonts w:ascii="Aptos" w:hAnsi="Aptos" w:cs="Arial"/>
                <w:i/>
                <w:iCs/>
                <w:color w:val="000000" w:themeColor="text1"/>
                <w:sz w:val="20"/>
              </w:rPr>
              <w:t>Nanosmite</w:t>
            </w:r>
            <w:r w:rsidRPr="0037165B">
              <w:rPr>
                <w:rFonts w:ascii="Aptos" w:hAnsi="Aptos" w:cs="Arial"/>
                <w:i/>
                <w:iCs/>
                <w:color w:val="000000" w:themeColor="text1"/>
                <w:sz w:val="20"/>
              </w:rPr>
              <w:t>virus</w:t>
            </w:r>
            <w:r w:rsidRPr="006453B1">
              <w:rPr>
                <w:rFonts w:ascii="Aptos" w:hAnsi="Aptos" w:cs="Arial"/>
                <w:color w:val="000000" w:themeColor="text1"/>
                <w:sz w:val="20"/>
              </w:rPr>
              <w:t xml:space="preserve">) with </w:t>
            </w:r>
            <w:r w:rsidR="00CF1CA9">
              <w:rPr>
                <w:rFonts w:ascii="Aptos" w:hAnsi="Aptos" w:cs="Arial"/>
                <w:color w:val="000000" w:themeColor="text1"/>
                <w:sz w:val="20"/>
              </w:rPr>
              <w:t>a single</w:t>
            </w:r>
            <w:r w:rsidRPr="006453B1">
              <w:rPr>
                <w:rFonts w:ascii="Aptos" w:hAnsi="Aptos" w:cs="Arial"/>
                <w:color w:val="000000" w:themeColor="text1"/>
                <w:sz w:val="20"/>
              </w:rPr>
              <w:t xml:space="preserve"> species (Caudoviricetes).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30973ED" w:rsidR="00E37077" w:rsidRPr="00AE4E97" w:rsidRDefault="00AE4E97" w:rsidP="00AE4E97">
            <w:pPr>
              <w:rPr>
                <w:rFonts w:ascii="Aptos Narrow" w:hAnsi="Aptos Narrow"/>
                <w:color w:val="000000"/>
                <w:sz w:val="22"/>
                <w:szCs w:val="22"/>
                <w:lang w:val="en-GB"/>
              </w:rPr>
            </w:pPr>
            <w:r>
              <w:rPr>
                <w:rFonts w:ascii="Aptos Narrow" w:hAnsi="Aptos Narrow"/>
                <w:color w:val="000000"/>
                <w:sz w:val="22"/>
                <w:szCs w:val="22"/>
              </w:rPr>
              <w:t>2025.051B.</w:t>
            </w:r>
            <w:r w:rsidR="00925922">
              <w:rPr>
                <w:rFonts w:ascii="Aptos Narrow" w:hAnsi="Aptos Narrow"/>
                <w:color w:val="000000"/>
                <w:sz w:val="22"/>
                <w:szCs w:val="22"/>
              </w:rPr>
              <w:t>Ac.v3.</w:t>
            </w:r>
            <w:r>
              <w:rPr>
                <w:rFonts w:ascii="Aptos Narrow" w:hAnsi="Aptos Narrow"/>
                <w:color w:val="000000"/>
                <w:sz w:val="22"/>
                <w:szCs w:val="22"/>
              </w:rPr>
              <w:t>Nanosmitevirus_1ng_1ns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6BFFB1AA"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88D6593"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B53118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CA73F18"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B63618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F437226"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02A72A91"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BF177D8"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DB29F0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9F8164C"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8C8347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4CBB48CD">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4CBB48CD">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4CBB48CD">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3692108" w:rsidR="000A7027" w:rsidRDefault="68FD3DBC" w:rsidP="4CBB48CD">
            <w:pPr>
              <w:rPr>
                <w:rFonts w:ascii="Aptos" w:eastAsia="Times" w:hAnsi="Aptos" w:cs="Arial"/>
                <w:b/>
                <w:bCs/>
                <w:color w:val="000000"/>
                <w:sz w:val="20"/>
                <w:szCs w:val="20"/>
                <w:lang w:eastAsia="en-GB"/>
              </w:rPr>
            </w:pPr>
            <w:r w:rsidRPr="4CBB48CD">
              <w:rPr>
                <w:rFonts w:ascii="Aptos" w:eastAsia="Times" w:hAnsi="Aptos" w:cs="Arial"/>
                <w:b/>
                <w:bCs/>
                <w:color w:val="000000" w:themeColor="text1"/>
                <w:sz w:val="20"/>
                <w:szCs w:val="20"/>
                <w:lang w:eastAsia="en-GB"/>
              </w:rPr>
              <w:t>x</w:t>
            </w:r>
          </w:p>
        </w:tc>
      </w:tr>
      <w:tr w:rsidR="000A7027" w14:paraId="5D9CF6FC" w14:textId="77777777" w:rsidTr="4CBB48CD">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4CBB48CD">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4CBB48CD">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4CBB48CD">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4CBB48CD">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4CBB48CD">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4CBB48CD">
        <w:trPr>
          <w:trHeight w:val="794"/>
        </w:trPr>
        <w:tc>
          <w:tcPr>
            <w:tcW w:w="8505" w:type="dxa"/>
          </w:tcPr>
          <w:p w14:paraId="0E43ED1A" w14:textId="7D839222" w:rsidR="000A7027" w:rsidRPr="00C95FB7" w:rsidRDefault="6579B462" w:rsidP="4CBB48CD">
            <w:pPr>
              <w:rPr>
                <w:rFonts w:ascii="Aptos" w:eastAsia="Aptos" w:hAnsi="Aptos" w:cs="Aptos"/>
                <w:sz w:val="20"/>
                <w:szCs w:val="20"/>
              </w:rPr>
            </w:pPr>
            <w:r w:rsidRPr="4CBB48CD">
              <w:rPr>
                <w:rFonts w:ascii="Aptos" w:eastAsia="Aptos" w:hAnsi="Aptos" w:cs="Aptos"/>
                <w:sz w:val="20"/>
                <w:szCs w:val="20"/>
              </w:rPr>
              <w:t>Please improve the abstract quality. No VIRIDIC, ViPTree or other analyses presented in proposal - text relating to BLASTN included</w:t>
            </w:r>
          </w:p>
          <w:p w14:paraId="352B8AE1" w14:textId="655AE6BC"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4E637EA7" w14:textId="77777777" w:rsidR="00174A37" w:rsidRDefault="00174A37" w:rsidP="00174A37">
      <w:pPr>
        <w:spacing w:after="120"/>
        <w:rPr>
          <w:rFonts w:ascii="Aptos" w:hAnsi="Aptos" w:cs="Arial"/>
          <w:b/>
          <w:sz w:val="20"/>
          <w:szCs w:val="20"/>
        </w:rPr>
      </w:pPr>
      <w:r>
        <w:rPr>
          <w:rFonts w:ascii="Aptos" w:hAnsi="Aptos" w:cs="Arial"/>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174A37" w:rsidRPr="00C95FB7" w14:paraId="1B3504A8" w14:textId="77777777" w:rsidTr="00F33F9B">
        <w:tc>
          <w:tcPr>
            <w:tcW w:w="8505" w:type="dxa"/>
            <w:shd w:val="clear" w:color="auto" w:fill="F2F2F2" w:themeFill="background1" w:themeFillShade="F2"/>
          </w:tcPr>
          <w:p w14:paraId="59FEB365" w14:textId="77777777" w:rsidR="00174A37" w:rsidRPr="00C95FB7" w:rsidRDefault="00174A37" w:rsidP="00F33F9B">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Pr>
                <w:rFonts w:ascii="Aptos" w:hAnsi="Aptos" w:cs="Arial"/>
                <w:b/>
                <w:sz w:val="20"/>
                <w:szCs w:val="20"/>
              </w:rPr>
              <w:t xml:space="preserve">: </w:t>
            </w:r>
          </w:p>
        </w:tc>
      </w:tr>
      <w:tr w:rsidR="00174A37" w:rsidRPr="00C95FB7" w14:paraId="28760582" w14:textId="77777777" w:rsidTr="00F33F9B">
        <w:tc>
          <w:tcPr>
            <w:tcW w:w="8505" w:type="dxa"/>
          </w:tcPr>
          <w:p w14:paraId="5C006823" w14:textId="77777777" w:rsidR="00174A37" w:rsidRPr="00C95FB7" w:rsidRDefault="00174A37" w:rsidP="00F33F9B">
            <w:pPr>
              <w:rPr>
                <w:rFonts w:ascii="Aptos" w:hAnsi="Aptos" w:cs="Arial"/>
                <w:sz w:val="20"/>
                <w:szCs w:val="20"/>
              </w:rPr>
            </w:pPr>
          </w:p>
          <w:p w14:paraId="16A7EF05" w14:textId="2703181E" w:rsidR="00174A37" w:rsidRDefault="00174A37" w:rsidP="00F33F9B">
            <w:pPr>
              <w:rPr>
                <w:rFonts w:ascii="Aptos" w:hAnsi="Aptos" w:cs="Arial"/>
                <w:sz w:val="20"/>
                <w:szCs w:val="20"/>
              </w:rPr>
            </w:pPr>
            <w:r>
              <w:rPr>
                <w:rFonts w:ascii="Aptos" w:hAnsi="Aptos" w:cs="Arial"/>
                <w:sz w:val="20"/>
                <w:szCs w:val="20"/>
              </w:rPr>
              <w:t>The text of the abstract has been amended.</w:t>
            </w:r>
            <w:r w:rsidR="00695149">
              <w:rPr>
                <w:rFonts w:ascii="Aptos" w:hAnsi="Aptos" w:cs="Arial"/>
                <w:sz w:val="20"/>
                <w:szCs w:val="20"/>
              </w:rPr>
              <w:t xml:space="preserve"> VIRDIC comparison of inter-genomic similarity added.</w:t>
            </w:r>
          </w:p>
          <w:p w14:paraId="4389404C" w14:textId="77777777" w:rsidR="00174A37" w:rsidRPr="00C95FB7" w:rsidRDefault="00174A37" w:rsidP="00F33F9B">
            <w:pPr>
              <w:rPr>
                <w:rFonts w:ascii="Aptos" w:hAnsi="Aptos" w:cs="Arial"/>
                <w:sz w:val="20"/>
                <w:szCs w:val="20"/>
              </w:rPr>
            </w:pPr>
          </w:p>
          <w:p w14:paraId="03748745" w14:textId="77777777" w:rsidR="00174A37" w:rsidRPr="00C95FB7" w:rsidRDefault="00174A37" w:rsidP="00F33F9B">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174A37" w14:paraId="651633EC" w14:textId="77777777" w:rsidTr="00F33F9B">
        <w:trPr>
          <w:trHeight w:val="244"/>
        </w:trPr>
        <w:tc>
          <w:tcPr>
            <w:tcW w:w="1980" w:type="dxa"/>
            <w:shd w:val="clear" w:color="auto" w:fill="F2F2F2" w:themeFill="background1" w:themeFillShade="F2"/>
          </w:tcPr>
          <w:p w14:paraId="52BE22D8" w14:textId="77777777" w:rsidR="00174A37" w:rsidRDefault="00174A37" w:rsidP="00F33F9B">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Pr>
                <w:rFonts w:ascii="Aptos" w:hAnsi="Aptos" w:cs="Arial"/>
                <w:b/>
                <w:bCs/>
                <w:sz w:val="20"/>
                <w:szCs w:val="20"/>
              </w:rPr>
              <w:t>:</w:t>
            </w:r>
          </w:p>
        </w:tc>
        <w:tc>
          <w:tcPr>
            <w:tcW w:w="1843" w:type="dxa"/>
          </w:tcPr>
          <w:p w14:paraId="634B9168" w14:textId="77777777" w:rsidR="00174A37" w:rsidRDefault="00174A37" w:rsidP="00F33F9B">
            <w:pPr>
              <w:rPr>
                <w:rFonts w:ascii="Aptos" w:hAnsi="Aptos" w:cs="Arial"/>
                <w:bCs/>
                <w:sz w:val="20"/>
                <w:szCs w:val="20"/>
              </w:rPr>
            </w:pPr>
            <w:r>
              <w:rPr>
                <w:rFonts w:ascii="Aptos" w:hAnsi="Aptos" w:cs="Arial"/>
                <w:bCs/>
                <w:sz w:val="20"/>
                <w:szCs w:val="20"/>
              </w:rPr>
              <w:t>01/09/2025</w:t>
            </w:r>
          </w:p>
        </w:tc>
      </w:tr>
    </w:tbl>
    <w:p w14:paraId="1FD2C937" w14:textId="77777777" w:rsidR="00174A37" w:rsidRDefault="00174A37" w:rsidP="00174A37">
      <w:pPr>
        <w:ind w:firstLine="720"/>
        <w:rPr>
          <w:rFonts w:ascii="Aptos" w:hAnsi="Aptos" w:cs="Arial"/>
          <w:b/>
          <w:bCs/>
          <w:sz w:val="20"/>
          <w:szCs w:val="20"/>
        </w:rPr>
      </w:pPr>
    </w:p>
    <w:p w14:paraId="7C2D104C" w14:textId="0192C6F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00B25CC5" w:rsidR="006C0F51" w:rsidRPr="006C0F51" w:rsidRDefault="006C0F51" w:rsidP="4CBB48CD">
      <w:pPr>
        <w:rPr>
          <w:rFonts w:ascii="Aptos" w:hAnsi="Aptos" w:cs="Arial"/>
          <w:b/>
          <w:bCs/>
          <w:color w:val="000000" w:themeColor="text1"/>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8146C46" w:rsidR="00DD58AA" w:rsidRDefault="001D0007" w:rsidP="00DD58AA">
      <w:pPr>
        <w:pStyle w:val="BodyTextIndent"/>
        <w:ind w:left="0" w:hanging="15"/>
        <w:rPr>
          <w:rFonts w:ascii="Aptos" w:hAnsi="Aptos" w:cs="Arial"/>
          <w:b/>
          <w:color w:val="000000"/>
          <w:sz w:val="20"/>
        </w:rPr>
      </w:pPr>
      <w:hyperlink r:id="rId10"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41B1F32"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lastRenderedPageBreak/>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3E8F2E70"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612A90B3" w:rsidR="00333392" w:rsidRPr="00BE54DC" w:rsidRDefault="00544377" w:rsidP="00040CB0">
            <w:pPr>
              <w:jc w:val="both"/>
              <w:rPr>
                <w:rFonts w:ascii="Aptos" w:hAnsi="Aptos" w:cs="Arial"/>
                <w:b/>
                <w:i/>
                <w:iCs/>
                <w:color w:val="000000" w:themeColor="text1"/>
                <w:sz w:val="20"/>
                <w:szCs w:val="20"/>
              </w:rPr>
            </w:pPr>
            <w:r w:rsidRPr="00BE54DC">
              <w:rPr>
                <w:rFonts w:ascii="Aptos" w:hAnsi="Aptos" w:cs="Arial"/>
                <w:b/>
                <w:i/>
                <w:iCs/>
                <w:color w:val="000000" w:themeColor="text1"/>
                <w:sz w:val="20"/>
                <w:szCs w:val="20"/>
              </w:rPr>
              <w:t>Nanosmite</w:t>
            </w:r>
            <w:r w:rsidR="00CF1CA9" w:rsidRPr="00BE54DC">
              <w:rPr>
                <w:rFonts w:ascii="Aptos" w:hAnsi="Aptos" w:cs="Arial"/>
                <w:b/>
                <w:i/>
                <w:iCs/>
                <w:color w:val="000000" w:themeColor="text1"/>
                <w:sz w:val="20"/>
                <w:szCs w:val="20"/>
              </w:rPr>
              <w:t>virus</w:t>
            </w:r>
          </w:p>
        </w:tc>
        <w:tc>
          <w:tcPr>
            <w:tcW w:w="6379" w:type="dxa"/>
            <w:vAlign w:val="center"/>
          </w:tcPr>
          <w:p w14:paraId="5CCE7407" w14:textId="1CC8D543" w:rsidR="000C462F" w:rsidRPr="00040CB0" w:rsidRDefault="00A824BE" w:rsidP="000C462F">
            <w:pPr>
              <w:jc w:val="both"/>
              <w:rPr>
                <w:rFonts w:ascii="Aptos" w:hAnsi="Aptos" w:cs="Arial"/>
                <w:b/>
                <w:color w:val="000000" w:themeColor="text1"/>
                <w:sz w:val="20"/>
                <w:szCs w:val="20"/>
              </w:rPr>
            </w:pPr>
            <w:r>
              <w:rPr>
                <w:rFonts w:ascii="Aptos" w:hAnsi="Aptos" w:cs="Arial"/>
                <w:b/>
                <w:color w:val="000000" w:themeColor="text1"/>
                <w:sz w:val="20"/>
                <w:szCs w:val="20"/>
              </w:rPr>
              <w:t>Name</w:t>
            </w:r>
            <w:r w:rsidR="00CF1CA9">
              <w:rPr>
                <w:rFonts w:ascii="Aptos" w:hAnsi="Aptos" w:cs="Arial"/>
                <w:b/>
                <w:color w:val="000000" w:themeColor="text1"/>
                <w:sz w:val="20"/>
                <w:szCs w:val="20"/>
              </w:rPr>
              <w:t xml:space="preserve"> derived from first isolate phage of its type </w:t>
            </w:r>
            <w:r w:rsidR="00544377">
              <w:rPr>
                <w:rFonts w:ascii="Aptos" w:hAnsi="Aptos" w:cs="Arial"/>
                <w:b/>
                <w:color w:val="000000" w:themeColor="text1"/>
                <w:sz w:val="20"/>
                <w:szCs w:val="20"/>
              </w:rPr>
              <w:t xml:space="preserve">Mycobacterium </w:t>
            </w:r>
            <w:r w:rsidR="00CF1CA9" w:rsidRPr="00CF1CA9">
              <w:rPr>
                <w:rFonts w:ascii="Aptos" w:hAnsi="Aptos" w:cs="Arial"/>
                <w:b/>
                <w:color w:val="000000" w:themeColor="text1"/>
                <w:sz w:val="20"/>
                <w:szCs w:val="20"/>
              </w:rPr>
              <w:t xml:space="preserve"> phage </w:t>
            </w:r>
            <w:r w:rsidR="00544377">
              <w:rPr>
                <w:rFonts w:ascii="Aptos" w:hAnsi="Aptos" w:cs="Arial"/>
                <w:b/>
                <w:color w:val="000000" w:themeColor="text1"/>
                <w:sz w:val="20"/>
                <w:szCs w:val="20"/>
              </w:rPr>
              <w:t>Nanosmite</w:t>
            </w:r>
          </w:p>
          <w:p w14:paraId="17202B3B" w14:textId="431A2780" w:rsidR="00333392" w:rsidRPr="00040CB0" w:rsidRDefault="00333392" w:rsidP="00A824BE">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4E24875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6A69D5F8"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4CBB48CD">
        <w:tc>
          <w:tcPr>
            <w:tcW w:w="8926" w:type="dxa"/>
            <w:shd w:val="clear" w:color="auto" w:fill="F2F2F2" w:themeFill="background1" w:themeFillShade="F2"/>
          </w:tcPr>
          <w:p w14:paraId="5831EE03" w14:textId="276CCB44"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4CBB48CD">
        <w:tc>
          <w:tcPr>
            <w:tcW w:w="8926" w:type="dxa"/>
          </w:tcPr>
          <w:p w14:paraId="3D0DFBB4" w14:textId="77777777" w:rsidR="00343DB1"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695F00A5" w:rsidR="00A77B8E" w:rsidRPr="00BE4F5A" w:rsidRDefault="00343DB1" w:rsidP="00DD58AA">
            <w:pPr>
              <w:rPr>
                <w:rFonts w:ascii="Aptos" w:hAnsi="Aptos" w:cs="Arial"/>
                <w:sz w:val="20"/>
                <w:szCs w:val="20"/>
              </w:rPr>
            </w:pPr>
            <w:r>
              <w:rPr>
                <w:rFonts w:ascii="Aptos" w:hAnsi="Aptos" w:cs="Arial"/>
                <w:sz w:val="20"/>
                <w:szCs w:val="20"/>
              </w:rPr>
              <w:t>G</w:t>
            </w:r>
            <w:r w:rsidR="00A824BE">
              <w:rPr>
                <w:rFonts w:ascii="Aptos" w:hAnsi="Aptos" w:cs="Arial"/>
                <w:sz w:val="20"/>
                <w:szCs w:val="20"/>
              </w:rPr>
              <w:t>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14271B86" w14:textId="77777777" w:rsidR="00352DF1"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2B5F2E1" w14:textId="5C2232CB" w:rsidR="00A77B8E" w:rsidRPr="00BE4F5A" w:rsidRDefault="009E305C" w:rsidP="00DD58AA">
            <w:pPr>
              <w:rPr>
                <w:rFonts w:ascii="Aptos" w:hAnsi="Aptos" w:cs="Arial"/>
                <w:sz w:val="20"/>
                <w:szCs w:val="20"/>
              </w:rPr>
            </w:pPr>
            <w:r>
              <w:rPr>
                <w:rFonts w:ascii="Aptos" w:hAnsi="Aptos" w:cs="Arial"/>
                <w:sz w:val="20"/>
                <w:szCs w:val="20"/>
              </w:rPr>
              <w:t>While the Actinobacteriophage Database groups</w:t>
            </w:r>
            <w:r w:rsidR="00544377">
              <w:rPr>
                <w:rFonts w:ascii="Aptos" w:hAnsi="Aptos" w:cs="Arial"/>
                <w:sz w:val="20"/>
                <w:szCs w:val="20"/>
              </w:rPr>
              <w:t xml:space="preserve"> temperate</w:t>
            </w:r>
            <w:r>
              <w:rPr>
                <w:rFonts w:ascii="Aptos" w:hAnsi="Aptos" w:cs="Arial"/>
                <w:sz w:val="20"/>
                <w:szCs w:val="20"/>
              </w:rPr>
              <w:t xml:space="preserve"> Mycobacterium phage </w:t>
            </w:r>
            <w:r w:rsidR="003B1C3B">
              <w:rPr>
                <w:rFonts w:ascii="Aptos" w:hAnsi="Aptos" w:cs="Arial"/>
                <w:sz w:val="20"/>
                <w:szCs w:val="20"/>
              </w:rPr>
              <w:t>Nanosmite</w:t>
            </w:r>
            <w:r>
              <w:rPr>
                <w:rFonts w:ascii="Aptos" w:hAnsi="Aptos" w:cs="Arial"/>
                <w:sz w:val="20"/>
                <w:szCs w:val="20"/>
              </w:rPr>
              <w:t xml:space="preserve"> in Cluster </w:t>
            </w:r>
            <w:r w:rsidR="003B1C3B">
              <w:rPr>
                <w:rFonts w:ascii="Aptos" w:hAnsi="Aptos" w:cs="Arial"/>
                <w:sz w:val="20"/>
                <w:szCs w:val="20"/>
              </w:rPr>
              <w:t>M/Subcluster M3</w:t>
            </w:r>
            <w:r>
              <w:rPr>
                <w:rFonts w:ascii="Aptos" w:hAnsi="Aptos" w:cs="Arial"/>
                <w:sz w:val="20"/>
                <w:szCs w:val="20"/>
              </w:rPr>
              <w:t xml:space="preserve"> our BLASTN </w:t>
            </w:r>
            <w:r w:rsidR="00695149">
              <w:rPr>
                <w:rFonts w:ascii="Aptos" w:hAnsi="Aptos" w:cs="Arial"/>
                <w:sz w:val="20"/>
                <w:szCs w:val="20"/>
              </w:rPr>
              <w:t xml:space="preserve">and VIRIDIC </w:t>
            </w:r>
            <w:r>
              <w:rPr>
                <w:rFonts w:ascii="Aptos" w:hAnsi="Aptos" w:cs="Arial"/>
                <w:sz w:val="20"/>
                <w:szCs w:val="20"/>
              </w:rPr>
              <w:t>analys</w:t>
            </w:r>
            <w:r w:rsidR="00B762CB">
              <w:rPr>
                <w:rFonts w:ascii="Aptos" w:hAnsi="Aptos" w:cs="Arial"/>
                <w:sz w:val="20"/>
                <w:szCs w:val="20"/>
              </w:rPr>
              <w:t>i</w:t>
            </w:r>
            <w:r>
              <w:rPr>
                <w:rFonts w:ascii="Aptos" w:hAnsi="Aptos" w:cs="Arial"/>
                <w:sz w:val="20"/>
                <w:szCs w:val="20"/>
              </w:rPr>
              <w:t xml:space="preserve">s reveals that it is sufficiently different from </w:t>
            </w:r>
            <w:r w:rsidR="003B1C3B">
              <w:rPr>
                <w:rFonts w:ascii="Aptos" w:hAnsi="Aptos" w:cs="Arial"/>
                <w:sz w:val="20"/>
                <w:szCs w:val="20"/>
              </w:rPr>
              <w:t>M Cluster viruses</w:t>
            </w:r>
            <w:r>
              <w:rPr>
                <w:rFonts w:ascii="Aptos" w:hAnsi="Aptos" w:cs="Arial"/>
                <w:sz w:val="20"/>
                <w:szCs w:val="20"/>
              </w:rPr>
              <w:t xml:space="preserve"> to deserve recognition as a separate genus.</w:t>
            </w:r>
            <w:r w:rsidR="003B1C3B">
              <w:rPr>
                <w:rFonts w:ascii="Aptos" w:hAnsi="Aptos" w:cs="Arial"/>
                <w:sz w:val="20"/>
                <w:szCs w:val="20"/>
              </w:rPr>
              <w:t xml:space="preserve">  We have classified M Cluster phages to the subfamily </w:t>
            </w:r>
            <w:r w:rsidR="003B1C3B" w:rsidRPr="003B1C3B">
              <w:rPr>
                <w:rFonts w:ascii="Aptos" w:hAnsi="Aptos" w:cs="Arial"/>
                <w:i/>
                <w:iCs/>
                <w:sz w:val="20"/>
                <w:szCs w:val="20"/>
              </w:rPr>
              <w:t>Mclasvirinae</w:t>
            </w:r>
            <w:r w:rsidR="00BE54DC">
              <w:rPr>
                <w:rFonts w:ascii="Aptos" w:hAnsi="Aptos" w:cs="Arial"/>
                <w:i/>
                <w:iCs/>
                <w:sz w:val="20"/>
                <w:szCs w:val="20"/>
              </w:rPr>
              <w:t xml:space="preserve">, </w:t>
            </w:r>
            <w:r w:rsidR="00BE54DC">
              <w:rPr>
                <w:rFonts w:ascii="Aptos" w:hAnsi="Aptos" w:cs="Arial"/>
                <w:sz w:val="20"/>
                <w:szCs w:val="20"/>
              </w:rPr>
              <w:t xml:space="preserve">family </w:t>
            </w:r>
            <w:r w:rsidR="00BE54DC" w:rsidRPr="00BE54DC">
              <w:rPr>
                <w:rFonts w:ascii="Aptos" w:hAnsi="Aptos" w:cs="Arial"/>
                <w:i/>
                <w:iCs/>
                <w:sz w:val="20"/>
                <w:szCs w:val="20"/>
              </w:rPr>
              <w:t>Vilmaviridae</w:t>
            </w:r>
            <w:r w:rsidR="003B1C3B">
              <w:rPr>
                <w:rFonts w:ascii="Aptos" w:hAnsi="Aptos" w:cs="Arial"/>
                <w:sz w:val="20"/>
                <w:szCs w:val="20"/>
              </w:rPr>
              <w:t>.</w:t>
            </w:r>
          </w:p>
          <w:p w14:paraId="09336122" w14:textId="678E2E16" w:rsidR="00A77B8E" w:rsidRDefault="00A77B8E" w:rsidP="00DD58AA">
            <w:pPr>
              <w:rPr>
                <w:rFonts w:ascii="Aptos" w:hAnsi="Aptos" w:cs="Arial"/>
                <w:sz w:val="20"/>
                <w:szCs w:val="20"/>
              </w:rPr>
            </w:pPr>
          </w:p>
          <w:p w14:paraId="5D82F891" w14:textId="77777777" w:rsidR="00343DB1"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673453E2" w:rsidR="00A77B8E" w:rsidRPr="00BE54DC" w:rsidRDefault="00A824BE" w:rsidP="00DD58AA">
            <w:pPr>
              <w:rPr>
                <w:rFonts w:ascii="Aptos" w:hAnsi="Aptos" w:cs="Arial"/>
                <w:i/>
                <w:iCs/>
                <w:sz w:val="20"/>
                <w:szCs w:val="20"/>
              </w:rPr>
            </w:pPr>
            <w:r>
              <w:rPr>
                <w:rFonts w:ascii="Aptos" w:hAnsi="Aptos" w:cs="Arial"/>
                <w:sz w:val="20"/>
                <w:szCs w:val="20"/>
              </w:rPr>
              <w:t xml:space="preserve">Add new genus and </w:t>
            </w:r>
            <w:r w:rsidR="00CF1CA9">
              <w:rPr>
                <w:rFonts w:ascii="Aptos" w:hAnsi="Aptos" w:cs="Arial"/>
                <w:sz w:val="20"/>
                <w:szCs w:val="20"/>
              </w:rPr>
              <w:t>one new</w:t>
            </w:r>
            <w:r>
              <w:rPr>
                <w:rFonts w:ascii="Aptos" w:hAnsi="Aptos" w:cs="Arial"/>
                <w:sz w:val="20"/>
                <w:szCs w:val="20"/>
              </w:rPr>
              <w:t xml:space="preserve"> species</w:t>
            </w:r>
            <w:r w:rsidR="003B1C3B">
              <w:rPr>
                <w:rFonts w:ascii="Aptos" w:hAnsi="Aptos" w:cs="Arial"/>
                <w:sz w:val="20"/>
                <w:szCs w:val="20"/>
              </w:rPr>
              <w:t xml:space="preserve"> to the subfamily </w:t>
            </w:r>
            <w:r w:rsidR="003B1C3B" w:rsidRPr="003B1C3B">
              <w:rPr>
                <w:rFonts w:ascii="Aptos" w:hAnsi="Aptos" w:cs="Arial"/>
                <w:i/>
                <w:iCs/>
                <w:sz w:val="20"/>
                <w:szCs w:val="20"/>
              </w:rPr>
              <w:t>Mclasvirinae</w:t>
            </w:r>
            <w:r w:rsidR="00BE54DC">
              <w:rPr>
                <w:rFonts w:ascii="Aptos" w:hAnsi="Aptos" w:cs="Arial"/>
                <w:sz w:val="20"/>
                <w:szCs w:val="20"/>
              </w:rPr>
              <w:t xml:space="preserve">, family </w:t>
            </w:r>
            <w:r w:rsidR="00BE54DC" w:rsidRPr="00BE54DC">
              <w:rPr>
                <w:rFonts w:ascii="Aptos" w:hAnsi="Aptos" w:cs="Arial"/>
                <w:sz w:val="20"/>
                <w:szCs w:val="20"/>
              </w:rPr>
              <w:t>Vilmaviridae</w:t>
            </w:r>
          </w:p>
          <w:p w14:paraId="7B7BADE9" w14:textId="77777777" w:rsidR="00A77B8E" w:rsidRPr="00BE4F5A" w:rsidRDefault="00A77B8E" w:rsidP="00DD58AA">
            <w:pPr>
              <w:rPr>
                <w:rFonts w:ascii="Aptos" w:hAnsi="Aptos" w:cs="Arial"/>
                <w:sz w:val="20"/>
                <w:szCs w:val="20"/>
              </w:rPr>
            </w:pPr>
          </w:p>
          <w:p w14:paraId="5159CDED" w14:textId="77777777" w:rsidR="00E9203A" w:rsidRDefault="00A77B8E" w:rsidP="00DD58AA">
            <w:pPr>
              <w:pStyle w:val="BodyTextIndent"/>
              <w:ind w:left="0" w:firstLine="0"/>
              <w:rPr>
                <w:rFonts w:ascii="Aptos" w:hAnsi="Aptos" w:cs="Arial"/>
                <w:sz w:val="20"/>
              </w:rPr>
            </w:pPr>
            <w:r w:rsidRPr="4CBB48CD">
              <w:rPr>
                <w:rFonts w:ascii="Aptos" w:hAnsi="Aptos" w:cs="Arial"/>
                <w:i/>
                <w:iCs/>
                <w:sz w:val="20"/>
              </w:rPr>
              <w:t>Justification</w:t>
            </w:r>
            <w:r w:rsidRPr="4CBB48CD">
              <w:rPr>
                <w:rFonts w:ascii="Aptos" w:hAnsi="Aptos" w:cs="Arial"/>
                <w:sz w:val="20"/>
              </w:rPr>
              <w:t>:</w:t>
            </w:r>
            <w:r w:rsidR="00A824BE" w:rsidRPr="4CBB48CD">
              <w:rPr>
                <w:rFonts w:ascii="Aptos" w:hAnsi="Aptos" w:cs="Arial"/>
                <w:sz w:val="20"/>
              </w:rPr>
              <w:t xml:space="preserve"> </w:t>
            </w:r>
          </w:p>
          <w:p w14:paraId="48C9F881" w14:textId="08FBE62F" w:rsidR="00CD5A9A" w:rsidRPr="00BE4F5A" w:rsidRDefault="00CD5A9A" w:rsidP="00CD5A9A">
            <w:pPr>
              <w:rPr>
                <w:rFonts w:ascii="Aptos" w:hAnsi="Aptos" w:cs="Arial"/>
                <w:sz w:val="20"/>
                <w:szCs w:val="20"/>
              </w:rPr>
            </w:pPr>
            <w:r>
              <w:rPr>
                <w:rFonts w:ascii="Aptos" w:hAnsi="Aptos"/>
                <w:i/>
                <w:iCs/>
                <w:sz w:val="20"/>
                <w:szCs w:val="20"/>
              </w:rPr>
              <w:t xml:space="preserve">Mycobacterium </w:t>
            </w:r>
            <w:r w:rsidRPr="00CF1CA9">
              <w:rPr>
                <w:rFonts w:ascii="Aptos" w:hAnsi="Aptos"/>
                <w:sz w:val="20"/>
                <w:szCs w:val="20"/>
              </w:rPr>
              <w:t xml:space="preserve">phage </w:t>
            </w:r>
            <w:r>
              <w:rPr>
                <w:rFonts w:ascii="Aptos" w:hAnsi="Aptos"/>
                <w:sz w:val="20"/>
                <w:szCs w:val="20"/>
              </w:rPr>
              <w:t>Nanosmite</w:t>
            </w:r>
            <w:r>
              <w:rPr>
                <w:rFonts w:ascii="Aptos" w:hAnsi="Aptos" w:cs="Arial"/>
                <w:sz w:val="20"/>
                <w:szCs w:val="20"/>
              </w:rPr>
              <w:t xml:space="preserve"> is a unique, unclassified temperate virus.</w:t>
            </w:r>
            <w:r w:rsidRPr="4CBB48CD">
              <w:rPr>
                <w:rFonts w:ascii="Aptos" w:hAnsi="Aptos" w:cs="Arial"/>
                <w:sz w:val="20"/>
                <w:szCs w:val="20"/>
              </w:rPr>
              <w:t xml:space="preserve"> BLASTN analysis reveals that it shares 57.9% DNA sequence identity with Mycobacterium phage Rey.</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4CBB48CD">
        <w:tc>
          <w:tcPr>
            <w:tcW w:w="8926" w:type="dxa"/>
            <w:shd w:val="clear" w:color="auto" w:fill="F2F2F2" w:themeFill="background1" w:themeFillShade="F2"/>
          </w:tcPr>
          <w:p w14:paraId="00CD2219" w14:textId="4A0646E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DDB4A9C" w:rsidR="00A77B8E" w:rsidRDefault="00A77B8E" w:rsidP="00883A5C">
            <w:pPr>
              <w:pStyle w:val="BodyTextIndent"/>
              <w:ind w:left="720" w:firstLine="0"/>
              <w:rPr>
                <w:rFonts w:ascii="Aptos" w:hAnsi="Aptos" w:cs="Arial"/>
                <w:color w:val="0000FF"/>
                <w:sz w:val="20"/>
              </w:rPr>
            </w:pPr>
          </w:p>
        </w:tc>
      </w:tr>
      <w:tr w:rsidR="00A77B8E" w14:paraId="1E86E5C0" w14:textId="77777777" w:rsidTr="4CBB48CD">
        <w:tc>
          <w:tcPr>
            <w:tcW w:w="8926" w:type="dxa"/>
          </w:tcPr>
          <w:p w14:paraId="49680848" w14:textId="77777777" w:rsidR="00A77B8E" w:rsidRDefault="00A77B8E" w:rsidP="00DD58AA">
            <w:pPr>
              <w:rPr>
                <w:rFonts w:ascii="Aptos" w:hAnsi="Aptos" w:cs="Arial"/>
                <w:b/>
                <w:i/>
                <w:sz w:val="20"/>
                <w:szCs w:val="20"/>
              </w:rPr>
            </w:pPr>
          </w:p>
          <w:p w14:paraId="6FAC529A" w14:textId="77777777" w:rsidR="00343DB1"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9422506" w14:textId="665B30CB" w:rsidR="00A77B8E" w:rsidRPr="00BE4F5A" w:rsidRDefault="00343DB1" w:rsidP="00DD58AA">
            <w:pPr>
              <w:rPr>
                <w:rFonts w:ascii="Aptos" w:hAnsi="Aptos" w:cs="Arial"/>
                <w:sz w:val="20"/>
                <w:szCs w:val="20"/>
              </w:rPr>
            </w:pPr>
            <w:r>
              <w:rPr>
                <w:rFonts w:ascii="Aptos" w:hAnsi="Aptos" w:cs="Arial"/>
                <w:sz w:val="20"/>
                <w:szCs w:val="20"/>
              </w:rPr>
              <w:t>G</w:t>
            </w:r>
            <w:r w:rsidR="00A824BE">
              <w:rPr>
                <w:rFonts w:ascii="Aptos" w:hAnsi="Aptos" w:cs="Arial"/>
                <w:sz w:val="20"/>
                <w:szCs w:val="20"/>
              </w:rPr>
              <w:t>enus</w:t>
            </w:r>
            <w:r w:rsidR="00CF1CA9">
              <w:rPr>
                <w:rFonts w:ascii="Aptos" w:hAnsi="Aptos" w:cs="Arial"/>
                <w:sz w:val="20"/>
                <w:szCs w:val="20"/>
              </w:rPr>
              <w:t xml:space="preserve"> and species</w:t>
            </w:r>
          </w:p>
          <w:p w14:paraId="4CBE5628" w14:textId="215B1919" w:rsidR="00A77B8E" w:rsidRDefault="00A77B8E" w:rsidP="00DD58AA">
            <w:pPr>
              <w:rPr>
                <w:rFonts w:ascii="Aptos" w:hAnsi="Aptos" w:cs="Arial"/>
                <w:sz w:val="20"/>
                <w:szCs w:val="20"/>
              </w:rPr>
            </w:pPr>
          </w:p>
          <w:p w14:paraId="673320E0" w14:textId="77777777" w:rsidR="00343DB1" w:rsidRDefault="003B1C3B" w:rsidP="003B1C3B">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6676CA7" w14:textId="24C7E494" w:rsidR="003B1C3B" w:rsidRPr="00BE4F5A" w:rsidRDefault="003B1C3B" w:rsidP="003B1C3B">
            <w:pPr>
              <w:rPr>
                <w:rFonts w:ascii="Aptos" w:hAnsi="Aptos" w:cs="Arial"/>
                <w:sz w:val="20"/>
                <w:szCs w:val="20"/>
              </w:rPr>
            </w:pPr>
            <w:r>
              <w:rPr>
                <w:rFonts w:ascii="Aptos" w:hAnsi="Aptos" w:cs="Arial"/>
                <w:sz w:val="20"/>
                <w:szCs w:val="20"/>
              </w:rPr>
              <w:t xml:space="preserve">While the Actinobacteriophage Database groups temperate Mycobacterium phage Nanosmite in Cluster M/Subcluster M3 our BLASTN </w:t>
            </w:r>
            <w:r w:rsidR="006A4810">
              <w:rPr>
                <w:rFonts w:ascii="Aptos" w:hAnsi="Aptos" w:cs="Arial"/>
                <w:sz w:val="20"/>
                <w:szCs w:val="20"/>
              </w:rPr>
              <w:t xml:space="preserve">and VIRIDIC </w:t>
            </w:r>
            <w:r>
              <w:rPr>
                <w:rFonts w:ascii="Aptos" w:hAnsi="Aptos" w:cs="Arial"/>
                <w:sz w:val="20"/>
                <w:szCs w:val="20"/>
              </w:rPr>
              <w:t xml:space="preserve">analysis reveals that it is sufficiently different from M Cluster viruses to deserve recognition as a separate genus.  We have classified M Cluster phages to the subfamily </w:t>
            </w:r>
            <w:r w:rsidRPr="003B1C3B">
              <w:rPr>
                <w:rFonts w:ascii="Aptos" w:hAnsi="Aptos" w:cs="Arial"/>
                <w:i/>
                <w:iCs/>
                <w:sz w:val="20"/>
                <w:szCs w:val="20"/>
              </w:rPr>
              <w:t>Mclasvirinae</w:t>
            </w:r>
            <w:r w:rsidR="00BE54DC" w:rsidRPr="00BE54DC">
              <w:rPr>
                <w:rFonts w:ascii="Aptos" w:hAnsi="Aptos" w:cs="Arial"/>
                <w:sz w:val="20"/>
                <w:szCs w:val="20"/>
              </w:rPr>
              <w:t>, family</w:t>
            </w:r>
            <w:r w:rsidR="00BE54DC">
              <w:rPr>
                <w:rFonts w:ascii="Aptos" w:hAnsi="Aptos" w:cs="Arial"/>
                <w:i/>
                <w:iCs/>
                <w:sz w:val="20"/>
                <w:szCs w:val="20"/>
              </w:rPr>
              <w:t xml:space="preserve"> </w:t>
            </w:r>
            <w:r w:rsidR="00BE54DC" w:rsidRPr="00BE54DC">
              <w:rPr>
                <w:rFonts w:ascii="Aptos" w:hAnsi="Aptos" w:cs="Arial"/>
                <w:i/>
                <w:iCs/>
                <w:sz w:val="20"/>
                <w:szCs w:val="20"/>
              </w:rPr>
              <w:t>Vilmaviridae</w:t>
            </w:r>
          </w:p>
          <w:p w14:paraId="706B125B" w14:textId="2B9F6EBF" w:rsidR="003B1C3B" w:rsidRPr="00BE4F5A" w:rsidRDefault="003B1C3B" w:rsidP="4CBB48CD">
            <w:pPr>
              <w:rPr>
                <w:rFonts w:ascii="Aptos" w:hAnsi="Aptos" w:cs="Arial"/>
                <w:sz w:val="20"/>
                <w:szCs w:val="20"/>
              </w:rPr>
            </w:pPr>
          </w:p>
          <w:p w14:paraId="0918BACC" w14:textId="77777777" w:rsidR="00343DB1" w:rsidRDefault="003B1C3B" w:rsidP="003B1C3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6AC2C5C" w14:textId="2F812943" w:rsidR="003B1C3B" w:rsidRPr="00BE54DC" w:rsidRDefault="003B1C3B" w:rsidP="003B1C3B">
            <w:pPr>
              <w:rPr>
                <w:rFonts w:ascii="Aptos" w:hAnsi="Aptos" w:cs="Arial"/>
                <w:sz w:val="20"/>
                <w:szCs w:val="20"/>
              </w:rPr>
            </w:pPr>
            <w:r>
              <w:rPr>
                <w:rFonts w:ascii="Aptos" w:hAnsi="Aptos" w:cs="Arial"/>
                <w:sz w:val="20"/>
                <w:szCs w:val="20"/>
              </w:rPr>
              <w:t xml:space="preserve">Add new genus and one new species to the subfamily </w:t>
            </w:r>
            <w:r w:rsidRPr="003B1C3B">
              <w:rPr>
                <w:rFonts w:ascii="Aptos" w:hAnsi="Aptos" w:cs="Arial"/>
                <w:i/>
                <w:iCs/>
                <w:sz w:val="20"/>
                <w:szCs w:val="20"/>
              </w:rPr>
              <w:t>Mclasvirinae</w:t>
            </w:r>
            <w:r w:rsidR="00BE54DC">
              <w:rPr>
                <w:rFonts w:ascii="Aptos" w:hAnsi="Aptos" w:cs="Arial"/>
                <w:i/>
                <w:iCs/>
                <w:sz w:val="20"/>
                <w:szCs w:val="20"/>
              </w:rPr>
              <w:t xml:space="preserve">, </w:t>
            </w:r>
            <w:r w:rsidR="00BE54DC">
              <w:rPr>
                <w:rFonts w:ascii="Aptos" w:hAnsi="Aptos" w:cs="Arial"/>
                <w:sz w:val="20"/>
                <w:szCs w:val="20"/>
              </w:rPr>
              <w:t xml:space="preserve">family </w:t>
            </w:r>
            <w:r w:rsidR="00BE54DC" w:rsidRPr="00BE54DC">
              <w:rPr>
                <w:rFonts w:ascii="Aptos" w:hAnsi="Aptos" w:cs="Arial"/>
                <w:i/>
                <w:iCs/>
                <w:sz w:val="20"/>
                <w:szCs w:val="20"/>
              </w:rPr>
              <w:t>Vilmaviridae</w:t>
            </w:r>
          </w:p>
          <w:p w14:paraId="0BD1EAB0" w14:textId="77777777" w:rsidR="00FC2269" w:rsidRPr="00BE4F5A" w:rsidRDefault="00FC2269" w:rsidP="00DD58AA">
            <w:pPr>
              <w:rPr>
                <w:rFonts w:ascii="Aptos" w:hAnsi="Aptos" w:cs="Arial"/>
                <w:sz w:val="20"/>
                <w:szCs w:val="20"/>
              </w:rPr>
            </w:pPr>
          </w:p>
          <w:p w14:paraId="239C9D43" w14:textId="7B36EA8F" w:rsidR="00273642" w:rsidRDefault="3C446ADA" w:rsidP="4CBB48CD">
            <w:pPr>
              <w:rPr>
                <w:rFonts w:ascii="Aptos" w:hAnsi="Aptos" w:cs="Arial"/>
                <w:sz w:val="20"/>
                <w:szCs w:val="20"/>
              </w:rPr>
            </w:pPr>
            <w:r w:rsidRPr="4CBB48CD">
              <w:rPr>
                <w:rFonts w:ascii="Aptos" w:hAnsi="Aptos" w:cs="Arial"/>
                <w:i/>
                <w:iCs/>
                <w:sz w:val="20"/>
                <w:szCs w:val="20"/>
              </w:rPr>
              <w:t>Demarcation criteria</w:t>
            </w:r>
            <w:r w:rsidR="4A46A9AE" w:rsidRPr="4CBB48CD">
              <w:rPr>
                <w:rFonts w:ascii="Aptos" w:hAnsi="Aptos" w:cs="Arial"/>
                <w:i/>
                <w:iCs/>
                <w:sz w:val="20"/>
                <w:szCs w:val="20"/>
              </w:rPr>
              <w:t xml:space="preserve">: </w:t>
            </w:r>
            <w:r w:rsidR="4A46A9AE" w:rsidRPr="4CBB48CD">
              <w:rPr>
                <w:rFonts w:ascii="Aptos" w:hAnsi="Aptos" w:cs="Arial"/>
                <w:sz w:val="20"/>
                <w:szCs w:val="20"/>
              </w:rPr>
              <w:t>The</w:t>
            </w:r>
            <w:r w:rsidR="26E0DC6B" w:rsidRPr="4CBB48CD">
              <w:rPr>
                <w:rFonts w:ascii="Aptos" w:hAnsi="Aptos" w:cs="Arial"/>
                <w:sz w:val="20"/>
                <w:szCs w:val="20"/>
              </w:rPr>
              <w:t xml:space="preserve"> Bacterial and Archaeal Virus Subcommittee </w:t>
            </w:r>
            <w:r w:rsidR="00464000" w:rsidRPr="4CBB48CD">
              <w:rPr>
                <w:rFonts w:ascii="Aptos" w:hAnsi="Aptos" w:cs="Arial"/>
                <w:sz w:val="20"/>
                <w:szCs w:val="20"/>
              </w:rPr>
              <w:t>established 70</w:t>
            </w:r>
            <w:r w:rsidR="26E0DC6B" w:rsidRPr="4CBB48CD">
              <w:rPr>
                <w:rFonts w:ascii="Aptos" w:hAnsi="Aptos" w:cs="Arial"/>
                <w:sz w:val="20"/>
                <w:szCs w:val="20"/>
              </w:rPr>
              <w:t>% average nucleotide identity (ANI) threshold for genus classification or 95% ANI for species [8]</w:t>
            </w:r>
            <w:r w:rsidR="009E305C" w:rsidRPr="4CBB48CD">
              <w:rPr>
                <w:rFonts w:ascii="Aptos" w:hAnsi="Aptos" w:cs="Arial"/>
                <w:sz w:val="20"/>
                <w:szCs w:val="20"/>
              </w:rPr>
              <w:t xml:space="preserve">.  </w:t>
            </w:r>
          </w:p>
          <w:p w14:paraId="1F25F8FD" w14:textId="77777777" w:rsidR="00FC2269" w:rsidRDefault="00FC2269" w:rsidP="00DD58AA">
            <w:pPr>
              <w:rPr>
                <w:rFonts w:ascii="Aptos" w:hAnsi="Aptos" w:cs="Arial"/>
                <w:i/>
                <w:sz w:val="20"/>
                <w:szCs w:val="20"/>
              </w:rPr>
            </w:pPr>
          </w:p>
          <w:p w14:paraId="3EF9C397" w14:textId="77777777" w:rsidR="00CD5A9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04D8B91" w14:textId="3AE6AFF9" w:rsidR="00A77B8E" w:rsidRPr="00BE4F5A" w:rsidRDefault="00CD5A9A" w:rsidP="00DD58AA">
            <w:pPr>
              <w:rPr>
                <w:rFonts w:ascii="Aptos" w:hAnsi="Aptos" w:cs="Arial"/>
                <w:sz w:val="20"/>
                <w:szCs w:val="20"/>
              </w:rPr>
            </w:pPr>
            <w:r>
              <w:rPr>
                <w:rFonts w:ascii="Aptos" w:hAnsi="Aptos"/>
                <w:i/>
                <w:iCs/>
                <w:sz w:val="20"/>
                <w:szCs w:val="20"/>
              </w:rPr>
              <w:t xml:space="preserve">Mycobacterium </w:t>
            </w:r>
            <w:r w:rsidRPr="00CF1CA9">
              <w:rPr>
                <w:rFonts w:ascii="Aptos" w:hAnsi="Aptos"/>
                <w:sz w:val="20"/>
                <w:szCs w:val="20"/>
              </w:rPr>
              <w:t xml:space="preserve">phage </w:t>
            </w:r>
            <w:r>
              <w:rPr>
                <w:rFonts w:ascii="Aptos" w:hAnsi="Aptos"/>
                <w:sz w:val="20"/>
                <w:szCs w:val="20"/>
              </w:rPr>
              <w:t>Nanosmite</w:t>
            </w:r>
            <w:r w:rsidR="002A1FDF">
              <w:rPr>
                <w:rFonts w:ascii="Aptos" w:hAnsi="Aptos" w:cs="Arial"/>
                <w:sz w:val="20"/>
                <w:szCs w:val="20"/>
              </w:rPr>
              <w:t xml:space="preserve"> is a unique, unclassified </w:t>
            </w:r>
            <w:r>
              <w:rPr>
                <w:rFonts w:ascii="Aptos" w:hAnsi="Aptos" w:cs="Arial"/>
                <w:sz w:val="20"/>
                <w:szCs w:val="20"/>
              </w:rPr>
              <w:t>temperate virus</w:t>
            </w:r>
            <w:r w:rsidR="00343DB1">
              <w:rPr>
                <w:rFonts w:ascii="Aptos" w:hAnsi="Aptos" w:cs="Arial"/>
                <w:sz w:val="20"/>
                <w:szCs w:val="20"/>
              </w:rPr>
              <w:t>.</w:t>
            </w:r>
            <w:r w:rsidR="00343DB1" w:rsidRPr="4CBB48CD">
              <w:rPr>
                <w:rFonts w:ascii="Aptos" w:hAnsi="Aptos" w:cs="Arial"/>
                <w:sz w:val="20"/>
                <w:szCs w:val="20"/>
              </w:rPr>
              <w:t xml:space="preserve"> BLASTN analysis [1,2] reveals that it shares 57.9% DNA sequence identity with Mycobacterium phage Rey.</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lastRenderedPageBreak/>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678"/>
        <w:gridCol w:w="5248"/>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B23B0FC"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4B392347" w:rsidR="00FC2269" w:rsidRPr="00CF59EA" w:rsidRDefault="00BE54DC" w:rsidP="005F790F">
            <w:pPr>
              <w:rPr>
                <w:rFonts w:ascii="Aptos" w:hAnsi="Aptos" w:cs="Arial"/>
                <w:b/>
                <w:sz w:val="20"/>
                <w:szCs w:val="20"/>
              </w:rPr>
            </w:pPr>
            <w:r>
              <w:rPr>
                <w:rFonts w:ascii="Aptos" w:hAnsi="Aptos" w:cs="Arial"/>
                <w:b/>
                <w:sz w:val="20"/>
                <w:szCs w:val="20"/>
              </w:rPr>
              <w:t>2025.0518.N.</w:t>
            </w:r>
            <w:r w:rsidR="003B1C3B">
              <w:rPr>
                <w:rFonts w:ascii="Aptos" w:hAnsi="Aptos" w:cs="Arial"/>
                <w:b/>
                <w:sz w:val="20"/>
                <w:szCs w:val="20"/>
              </w:rPr>
              <w:t>Nanosmite</w:t>
            </w:r>
            <w:r w:rsidR="00CF1CA9">
              <w:rPr>
                <w:rFonts w:ascii="Aptos" w:hAnsi="Aptos" w:cs="Arial"/>
                <w:b/>
                <w:sz w:val="20"/>
                <w:szCs w:val="20"/>
              </w:rPr>
              <w:t>virus</w:t>
            </w:r>
            <w:r w:rsidR="009E305C">
              <w:rPr>
                <w:rFonts w:ascii="Aptos" w:hAnsi="Aptos" w:cs="Arial"/>
                <w:b/>
                <w:sz w:val="20"/>
                <w:szCs w:val="20"/>
              </w:rPr>
              <w:t>_1ng_1ns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0750A6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251D4BC4"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3DAF0321" w:rsidR="00A174CC" w:rsidRDefault="00F276D0" w:rsidP="00FC2269">
      <w:pPr>
        <w:rPr>
          <w:rFonts w:ascii="Aptos" w:hAnsi="Aptos"/>
          <w:color w:val="0070C0"/>
        </w:rPr>
      </w:pPr>
      <w:r w:rsidRPr="00F276D0">
        <w:rPr>
          <w:rFonts w:ascii="Aptos" w:hAnsi="Aptos"/>
        </w:rPr>
        <w:t>Table 1.  Characteristics of the phage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73D3E8D6" w:rsidR="00F00E0B" w:rsidRPr="00F00E0B" w:rsidRDefault="00CD5A9A" w:rsidP="00FC2269">
            <w:pPr>
              <w:rPr>
                <w:rFonts w:ascii="Aptos" w:hAnsi="Aptos"/>
                <w:b/>
                <w:bCs/>
                <w:sz w:val="20"/>
                <w:szCs w:val="20"/>
              </w:rPr>
            </w:pPr>
            <w:r>
              <w:rPr>
                <w:rFonts w:ascii="Aptos" w:hAnsi="Aptos"/>
                <w:b/>
                <w:bCs/>
                <w:sz w:val="20"/>
                <w:szCs w:val="20"/>
              </w:rPr>
              <w:t>P</w:t>
            </w:r>
            <w:r w:rsidR="00F00E0B" w:rsidRPr="00F00E0B">
              <w:rPr>
                <w:rFonts w:ascii="Aptos" w:hAnsi="Aptos"/>
                <w:b/>
                <w:bCs/>
                <w:sz w:val="20"/>
                <w:szCs w:val="20"/>
              </w:rPr>
              <w:t>hage name</w:t>
            </w:r>
          </w:p>
        </w:tc>
        <w:tc>
          <w:tcPr>
            <w:tcW w:w="1568"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6745D555" w:rsidR="00F00E0B" w:rsidRPr="00CF1CA9" w:rsidRDefault="003B1C3B" w:rsidP="00FC2269">
            <w:pPr>
              <w:rPr>
                <w:rFonts w:ascii="Aptos" w:hAnsi="Aptos"/>
                <w:sz w:val="20"/>
                <w:szCs w:val="20"/>
              </w:rPr>
            </w:pPr>
            <w:r>
              <w:rPr>
                <w:rFonts w:ascii="Aptos" w:hAnsi="Aptos"/>
                <w:i/>
                <w:iCs/>
                <w:sz w:val="20"/>
                <w:szCs w:val="20"/>
              </w:rPr>
              <w:t xml:space="preserve">Mycobacterium </w:t>
            </w:r>
            <w:r w:rsidR="00CF1CA9" w:rsidRPr="00CF1CA9">
              <w:rPr>
                <w:rFonts w:ascii="Aptos" w:hAnsi="Aptos"/>
                <w:sz w:val="20"/>
                <w:szCs w:val="20"/>
              </w:rPr>
              <w:t xml:space="preserve">phage </w:t>
            </w:r>
            <w:r>
              <w:rPr>
                <w:rFonts w:ascii="Aptos" w:hAnsi="Aptos"/>
                <w:sz w:val="20"/>
                <w:szCs w:val="20"/>
              </w:rPr>
              <w:t>Nanosmite</w:t>
            </w:r>
          </w:p>
        </w:tc>
        <w:tc>
          <w:tcPr>
            <w:tcW w:w="1568" w:type="dxa"/>
          </w:tcPr>
          <w:p w14:paraId="1F1F3D29" w14:textId="1979AC8D" w:rsidR="00F00E0B" w:rsidRPr="00CF1CA9" w:rsidRDefault="003E5FCE" w:rsidP="00FC2269">
            <w:pPr>
              <w:rPr>
                <w:rFonts w:ascii="Aptos" w:hAnsi="Aptos"/>
                <w:sz w:val="20"/>
                <w:szCs w:val="20"/>
              </w:rPr>
            </w:pPr>
            <w:r w:rsidRPr="003E5FCE">
              <w:rPr>
                <w:rFonts w:ascii="Aptos" w:hAnsi="Aptos"/>
                <w:i/>
                <w:iCs/>
                <w:sz w:val="20"/>
                <w:szCs w:val="20"/>
              </w:rPr>
              <w:t>Mycobacterium smegmatis</w:t>
            </w:r>
            <w:r w:rsidRPr="003E5FCE">
              <w:rPr>
                <w:rFonts w:ascii="Aptos" w:hAnsi="Aptos"/>
                <w:sz w:val="20"/>
                <w:szCs w:val="20"/>
              </w:rPr>
              <w:t xml:space="preserve"> mc²155</w:t>
            </w:r>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00733372" w:rsidR="00F00E0B" w:rsidRPr="00F00E0B" w:rsidRDefault="003B1C3B" w:rsidP="00FC2269">
            <w:pPr>
              <w:rPr>
                <w:rFonts w:ascii="Aptos" w:hAnsi="Aptos"/>
                <w:sz w:val="20"/>
                <w:szCs w:val="20"/>
              </w:rPr>
            </w:pPr>
            <w:r>
              <w:rPr>
                <w:rFonts w:ascii="Aptos" w:hAnsi="Aptos"/>
                <w:sz w:val="20"/>
                <w:szCs w:val="20"/>
              </w:rPr>
              <w:t>Temperate</w:t>
            </w:r>
          </w:p>
        </w:tc>
        <w:tc>
          <w:tcPr>
            <w:tcW w:w="1358" w:type="dxa"/>
          </w:tcPr>
          <w:p w14:paraId="4C01372D" w14:textId="55386B9D" w:rsidR="00F00E0B" w:rsidRPr="00F00E0B" w:rsidRDefault="003E5FCE" w:rsidP="00FC2269">
            <w:pPr>
              <w:rPr>
                <w:rFonts w:ascii="Aptos" w:hAnsi="Aptos"/>
                <w:sz w:val="20"/>
                <w:szCs w:val="20"/>
              </w:rPr>
            </w:pPr>
            <w:r w:rsidRPr="003E5FCE">
              <w:rPr>
                <w:rFonts w:ascii="Aptos" w:hAnsi="Aptos"/>
                <w:sz w:val="20"/>
                <w:szCs w:val="20"/>
              </w:rPr>
              <w:t>MW578836.1</w:t>
            </w:r>
          </w:p>
        </w:tc>
        <w:tc>
          <w:tcPr>
            <w:tcW w:w="991" w:type="dxa"/>
          </w:tcPr>
          <w:p w14:paraId="036CD60A" w14:textId="3C7419CC" w:rsidR="00F00E0B" w:rsidRPr="00F00E0B" w:rsidRDefault="003E5FCE" w:rsidP="00FC2269">
            <w:pPr>
              <w:rPr>
                <w:rFonts w:ascii="Aptos" w:hAnsi="Aptos"/>
                <w:sz w:val="20"/>
                <w:szCs w:val="20"/>
              </w:rPr>
            </w:pPr>
            <w:r w:rsidRPr="003E5FCE">
              <w:rPr>
                <w:rFonts w:ascii="Aptos" w:hAnsi="Aptos"/>
                <w:sz w:val="20"/>
                <w:szCs w:val="20"/>
              </w:rPr>
              <w:t>82676 bp</w:t>
            </w:r>
          </w:p>
        </w:tc>
        <w:tc>
          <w:tcPr>
            <w:tcW w:w="977" w:type="dxa"/>
          </w:tcPr>
          <w:p w14:paraId="015BE234" w14:textId="2FD5B20E" w:rsidR="00F00E0B" w:rsidRPr="00F00E0B" w:rsidRDefault="003E5FCE" w:rsidP="00FC2269">
            <w:pPr>
              <w:rPr>
                <w:rFonts w:ascii="Aptos" w:hAnsi="Aptos"/>
                <w:sz w:val="20"/>
                <w:szCs w:val="20"/>
              </w:rPr>
            </w:pPr>
            <w:r>
              <w:rPr>
                <w:rFonts w:ascii="Aptos" w:hAnsi="Aptos"/>
                <w:sz w:val="20"/>
                <w:szCs w:val="20"/>
              </w:rPr>
              <w:t>150</w:t>
            </w:r>
          </w:p>
        </w:tc>
        <w:tc>
          <w:tcPr>
            <w:tcW w:w="683" w:type="dxa"/>
          </w:tcPr>
          <w:p w14:paraId="3D018A94" w14:textId="47C5CCE4" w:rsidR="00F00E0B" w:rsidRPr="00F00E0B" w:rsidRDefault="003E5FCE" w:rsidP="00FC2269">
            <w:pPr>
              <w:rPr>
                <w:rFonts w:ascii="Aptos" w:hAnsi="Aptos"/>
                <w:sz w:val="20"/>
                <w:szCs w:val="20"/>
              </w:rPr>
            </w:pPr>
            <w:r>
              <w:rPr>
                <w:rFonts w:ascii="Aptos" w:hAnsi="Aptos"/>
                <w:sz w:val="20"/>
                <w:szCs w:val="20"/>
              </w:rPr>
              <w:t>20</w:t>
            </w:r>
          </w:p>
        </w:tc>
      </w:tr>
    </w:tbl>
    <w:p w14:paraId="22C2762D" w14:textId="57A98B02" w:rsidR="009C447F" w:rsidRDefault="003E5FCE" w:rsidP="00FC2269">
      <w:pPr>
        <w:rPr>
          <w:rFonts w:ascii="Aptos" w:eastAsia="Aptos" w:hAnsi="Aptos" w:cs="Aptos"/>
        </w:rPr>
      </w:pPr>
      <w:r>
        <w:rPr>
          <w:rFonts w:ascii="Aptos" w:hAnsi="Aptos"/>
          <w:noProof/>
          <w:color w:val="0070C0"/>
        </w:rPr>
        <w:lastRenderedPageBreak/>
        <w:drawing>
          <wp:inline distT="0" distB="0" distL="0" distR="0" wp14:anchorId="1B7EBD20" wp14:editId="29A1BC65">
            <wp:extent cx="5926455" cy="4705985"/>
            <wp:effectExtent l="0" t="0" r="0" b="0"/>
            <wp:docPr id="1051999933" name="Picture 1" descr="A close-up of a micr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99933" name="Picture 1" descr="A close-up of a microscop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4705985"/>
                    </a:xfrm>
                    <a:prstGeom prst="rect">
                      <a:avLst/>
                    </a:prstGeom>
                  </pic:spPr>
                </pic:pic>
              </a:graphicData>
            </a:graphic>
          </wp:inline>
        </w:drawing>
      </w:r>
    </w:p>
    <w:p w14:paraId="1CC8FE9B" w14:textId="18AB5F18" w:rsidR="00464000" w:rsidRDefault="00464000" w:rsidP="009C447F">
      <w:pPr>
        <w:rPr>
          <w:rFonts w:ascii="Aptos" w:eastAsia="Aptos" w:hAnsi="Aptos" w:cs="Aptos"/>
        </w:rPr>
      </w:pPr>
      <w:r>
        <w:rPr>
          <w:rFonts w:ascii="Aptos" w:eastAsia="Aptos" w:hAnsi="Aptos" w:cs="Aptos"/>
        </w:rPr>
        <w:br/>
        <w:t xml:space="preserve">Figure </w:t>
      </w:r>
      <w:r w:rsidR="009E305C">
        <w:rPr>
          <w:rFonts w:ascii="Aptos" w:eastAsia="Aptos" w:hAnsi="Aptos" w:cs="Aptos"/>
        </w:rPr>
        <w:t>1</w:t>
      </w:r>
      <w:r>
        <w:rPr>
          <w:rFonts w:ascii="Aptos" w:eastAsia="Aptos" w:hAnsi="Aptos" w:cs="Aptos"/>
        </w:rPr>
        <w:t xml:space="preserve">. </w:t>
      </w:r>
      <w:r w:rsidR="00B10FF1" w:rsidRPr="00B10FF1">
        <w:rPr>
          <w:rFonts w:ascii="Aptos" w:eastAsia="Aptos" w:hAnsi="Aptos" w:cs="Aptos"/>
        </w:rPr>
        <w:t xml:space="preserve">Electron micrograph: Electron micrographs of negatively stained </w:t>
      </w:r>
      <w:r w:rsidR="00B10FF1">
        <w:rPr>
          <w:rFonts w:ascii="Aptos" w:eastAsia="Aptos" w:hAnsi="Aptos" w:cs="Aptos"/>
        </w:rPr>
        <w:t>Gordonia</w:t>
      </w:r>
      <w:r w:rsidR="00B10FF1" w:rsidRPr="00B10FF1">
        <w:rPr>
          <w:rFonts w:ascii="Aptos" w:eastAsia="Aptos" w:hAnsi="Aptos" w:cs="Aptos"/>
        </w:rPr>
        <w:t xml:space="preserve"> phage </w:t>
      </w:r>
      <w:r w:rsidR="0049098F">
        <w:rPr>
          <w:rFonts w:ascii="Aptos" w:eastAsia="Aptos" w:hAnsi="Aptos" w:cs="Aptos"/>
        </w:rPr>
        <w:t>Nanosmite</w:t>
      </w:r>
      <w:r w:rsidR="00B10FF1" w:rsidRPr="00B10FF1">
        <w:rPr>
          <w:rFonts w:ascii="Aptos" w:eastAsia="Aptos" w:hAnsi="Aptos" w:cs="Aptos"/>
        </w:rPr>
        <w:t xml:space="preserve"> (</w:t>
      </w:r>
      <w:hyperlink r:id="rId12" w:history="1">
        <w:r w:rsidR="003E5FCE" w:rsidRPr="0017102C">
          <w:rPr>
            <w:rStyle w:val="Hyperlink"/>
            <w:rFonts w:ascii="Aptos" w:eastAsia="Aptos" w:hAnsi="Aptos" w:cs="Aptos"/>
          </w:rPr>
          <w:t>https://phagesdb.org/phages/Nanosmite/</w:t>
        </w:r>
      </w:hyperlink>
      <w:r w:rsidR="00B10FF1" w:rsidRPr="00B10FF1">
        <w:rPr>
          <w:rFonts w:ascii="Aptos" w:eastAsia="Aptos" w:hAnsi="Aptos" w:cs="Aptos"/>
        </w:rPr>
        <w:t>).  Limited permission was granted by The Actinobacteriophages Database (</w:t>
      </w:r>
      <w:hyperlink r:id="rId13" w:history="1">
        <w:r w:rsidR="00B10FF1" w:rsidRPr="007D2EE9">
          <w:rPr>
            <w:rStyle w:val="Hyperlink"/>
            <w:rFonts w:ascii="Aptos" w:eastAsia="Aptos" w:hAnsi="Aptos" w:cs="Aptos"/>
          </w:rPr>
          <w:t>https://phagesdb.org/</w:t>
        </w:r>
      </w:hyperlink>
      <w:r w:rsidR="00B10FF1" w:rsidRPr="00B10FF1">
        <w:rPr>
          <w:rFonts w:ascii="Aptos" w:eastAsia="Aptos" w:hAnsi="Aptos" w:cs="Aptos"/>
        </w:rPr>
        <w:t xml:space="preserve">), funded by the Howard Hughes Medical Institute, to use this electron micrograph for this taxonomy proposal; it cannot be reused without permission of The Actinobacteriophages Database.  </w:t>
      </w:r>
    </w:p>
    <w:p w14:paraId="13987B61" w14:textId="77777777" w:rsidR="00F82C4D" w:rsidRDefault="00F82C4D" w:rsidP="009C447F">
      <w:pPr>
        <w:rPr>
          <w:rFonts w:ascii="Aptos" w:eastAsia="Aptos" w:hAnsi="Aptos" w:cs="Aptos"/>
        </w:rPr>
      </w:pPr>
    </w:p>
    <w:p w14:paraId="3C98D954" w14:textId="37C5FDED" w:rsidR="00F82C4D" w:rsidRDefault="00F82C4D" w:rsidP="00195952">
      <w:pPr>
        <w:jc w:val="center"/>
        <w:rPr>
          <w:rFonts w:ascii="Aptos" w:eastAsia="Aptos" w:hAnsi="Aptos" w:cs="Aptos"/>
        </w:rPr>
      </w:pPr>
    </w:p>
    <w:p w14:paraId="485EFBB8" w14:textId="4B4B2368" w:rsidR="009C447F" w:rsidRDefault="006A4810" w:rsidP="00FC2269">
      <w:pPr>
        <w:rPr>
          <w:rFonts w:ascii="Aptos" w:hAnsi="Aptos"/>
          <w:color w:val="0070C0"/>
        </w:rPr>
      </w:pPr>
      <w:r>
        <w:rPr>
          <w:noProof/>
        </w:rPr>
        <w:drawing>
          <wp:inline distT="0" distB="0" distL="0" distR="0" wp14:anchorId="1C9A1756" wp14:editId="2400CA66">
            <wp:extent cx="5829300" cy="974027"/>
            <wp:effectExtent l="0" t="0" r="0" b="0"/>
            <wp:docPr id="30748601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86019" name="Picture 1" descr="A screenshot of a computer&#10;&#10;AI-generated content may be incorrect."/>
                    <pic:cNvPicPr/>
                  </pic:nvPicPr>
                  <pic:blipFill rotWithShape="1">
                    <a:blip r:embed="rId14"/>
                    <a:srcRect l="1456" t="28573" r="48618" b="56080"/>
                    <a:stretch>
                      <a:fillRect/>
                    </a:stretch>
                  </pic:blipFill>
                  <pic:spPr bwMode="auto">
                    <a:xfrm>
                      <a:off x="0" y="0"/>
                      <a:ext cx="5899512" cy="985759"/>
                    </a:xfrm>
                    <a:prstGeom prst="rect">
                      <a:avLst/>
                    </a:prstGeom>
                    <a:ln>
                      <a:noFill/>
                    </a:ln>
                    <a:extLst>
                      <a:ext uri="{53640926-AAD7-44D8-BBD7-CCE9431645EC}">
                        <a14:shadowObscured xmlns:a14="http://schemas.microsoft.com/office/drawing/2010/main"/>
                      </a:ext>
                    </a:extLst>
                  </pic:spPr>
                </pic:pic>
              </a:graphicData>
            </a:graphic>
          </wp:inline>
        </w:drawing>
      </w:r>
    </w:p>
    <w:p w14:paraId="2F4B6CDA" w14:textId="6274E347" w:rsidR="006A4810" w:rsidRPr="00EF4AAE" w:rsidRDefault="00EF4AAE" w:rsidP="00FC2269">
      <w:pPr>
        <w:rPr>
          <w:rFonts w:ascii="Aptos" w:hAnsi="Aptos"/>
        </w:rPr>
      </w:pPr>
      <w:r w:rsidRPr="00EF4AAE">
        <w:rPr>
          <w:rFonts w:ascii="Aptos" w:hAnsi="Aptos"/>
        </w:rPr>
        <w:t>Figure 2</w:t>
      </w:r>
      <w:r>
        <w:rPr>
          <w:rFonts w:ascii="Aptos" w:hAnsi="Aptos"/>
        </w:rPr>
        <w:t xml:space="preserve">. VIRIDIC heatmap of intergenomic similarities between Mycobacterium phage Nanosmite and other species classified in the subfamily </w:t>
      </w:r>
      <w:r>
        <w:rPr>
          <w:rFonts w:ascii="Aptos" w:hAnsi="Aptos"/>
          <w:i/>
          <w:iCs/>
        </w:rPr>
        <w:t>Mclasvirinae</w:t>
      </w:r>
      <w:r>
        <w:rPr>
          <w:rFonts w:ascii="Aptos" w:hAnsi="Aptos"/>
        </w:rPr>
        <w:t>.</w:t>
      </w:r>
    </w:p>
    <w:sectPr w:rsidR="006A4810" w:rsidRPr="00EF4AAE"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10B41" w14:textId="77777777" w:rsidR="00060F9F" w:rsidRDefault="00060F9F">
      <w:r>
        <w:separator/>
      </w:r>
    </w:p>
  </w:endnote>
  <w:endnote w:type="continuationSeparator" w:id="0">
    <w:p w14:paraId="25ECDA2A" w14:textId="77777777" w:rsidR="00060F9F" w:rsidRDefault="0006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83FF2" w14:textId="77777777" w:rsidR="00060F9F" w:rsidRDefault="00060F9F">
      <w:r>
        <w:separator/>
      </w:r>
    </w:p>
  </w:footnote>
  <w:footnote w:type="continuationSeparator" w:id="0">
    <w:p w14:paraId="18B1D8E0" w14:textId="77777777" w:rsidR="00060F9F" w:rsidRDefault="0006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42107106">
    <w:abstractNumId w:val="0"/>
  </w:num>
  <w:num w:numId="2" w16cid:durableId="514423801">
    <w:abstractNumId w:val="3"/>
  </w:num>
  <w:num w:numId="3" w16cid:durableId="655456903">
    <w:abstractNumId w:val="1"/>
  </w:num>
  <w:num w:numId="4" w16cid:durableId="833571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60F9F"/>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74A37"/>
    <w:rsid w:val="00195952"/>
    <w:rsid w:val="001D0007"/>
    <w:rsid w:val="001D3E3E"/>
    <w:rsid w:val="001F4E2B"/>
    <w:rsid w:val="00220A26"/>
    <w:rsid w:val="002312CE"/>
    <w:rsid w:val="0023149A"/>
    <w:rsid w:val="0023696B"/>
    <w:rsid w:val="0024086E"/>
    <w:rsid w:val="0025498B"/>
    <w:rsid w:val="00273642"/>
    <w:rsid w:val="00296DA3"/>
    <w:rsid w:val="002A1FDF"/>
    <w:rsid w:val="002A5A83"/>
    <w:rsid w:val="002B0192"/>
    <w:rsid w:val="002C028D"/>
    <w:rsid w:val="002D4340"/>
    <w:rsid w:val="00327E73"/>
    <w:rsid w:val="00333392"/>
    <w:rsid w:val="00343DB1"/>
    <w:rsid w:val="00352DF1"/>
    <w:rsid w:val="00355CE0"/>
    <w:rsid w:val="00363A30"/>
    <w:rsid w:val="0037165B"/>
    <w:rsid w:val="0037243A"/>
    <w:rsid w:val="00382FE8"/>
    <w:rsid w:val="00383BBF"/>
    <w:rsid w:val="0038593F"/>
    <w:rsid w:val="003A166F"/>
    <w:rsid w:val="003A18C5"/>
    <w:rsid w:val="003A5ED7"/>
    <w:rsid w:val="003B0883"/>
    <w:rsid w:val="003B1C3B"/>
    <w:rsid w:val="003B1D1B"/>
    <w:rsid w:val="003B3832"/>
    <w:rsid w:val="003C5428"/>
    <w:rsid w:val="003E5FCE"/>
    <w:rsid w:val="003E70A0"/>
    <w:rsid w:val="003F2A97"/>
    <w:rsid w:val="003F5FD1"/>
    <w:rsid w:val="0043110C"/>
    <w:rsid w:val="00437970"/>
    <w:rsid w:val="00464000"/>
    <w:rsid w:val="00471256"/>
    <w:rsid w:val="00485AB4"/>
    <w:rsid w:val="0049098F"/>
    <w:rsid w:val="004A1436"/>
    <w:rsid w:val="004F2F1E"/>
    <w:rsid w:val="004F3196"/>
    <w:rsid w:val="00536426"/>
    <w:rsid w:val="00543F86"/>
    <w:rsid w:val="00544377"/>
    <w:rsid w:val="0055461D"/>
    <w:rsid w:val="00563D4C"/>
    <w:rsid w:val="005660C9"/>
    <w:rsid w:val="0058465A"/>
    <w:rsid w:val="00590DF3"/>
    <w:rsid w:val="005A54C3"/>
    <w:rsid w:val="005B4C7D"/>
    <w:rsid w:val="005D2337"/>
    <w:rsid w:val="006043FB"/>
    <w:rsid w:val="00607227"/>
    <w:rsid w:val="006109F7"/>
    <w:rsid w:val="00610D9F"/>
    <w:rsid w:val="006453B1"/>
    <w:rsid w:val="00647814"/>
    <w:rsid w:val="0067795B"/>
    <w:rsid w:val="00683D0C"/>
    <w:rsid w:val="0069192D"/>
    <w:rsid w:val="00695149"/>
    <w:rsid w:val="006A4810"/>
    <w:rsid w:val="006B7AB8"/>
    <w:rsid w:val="006C0F51"/>
    <w:rsid w:val="006D18F6"/>
    <w:rsid w:val="006D30E3"/>
    <w:rsid w:val="006D428E"/>
    <w:rsid w:val="006D5063"/>
    <w:rsid w:val="006E4357"/>
    <w:rsid w:val="00723577"/>
    <w:rsid w:val="00724F5F"/>
    <w:rsid w:val="0072682D"/>
    <w:rsid w:val="00736440"/>
    <w:rsid w:val="00737875"/>
    <w:rsid w:val="00740A3F"/>
    <w:rsid w:val="00741880"/>
    <w:rsid w:val="00772160"/>
    <w:rsid w:val="00781CBB"/>
    <w:rsid w:val="007B0F70"/>
    <w:rsid w:val="007B6511"/>
    <w:rsid w:val="007E0EF5"/>
    <w:rsid w:val="007E667B"/>
    <w:rsid w:val="00822B3A"/>
    <w:rsid w:val="00824208"/>
    <w:rsid w:val="008308A0"/>
    <w:rsid w:val="00836163"/>
    <w:rsid w:val="00852D43"/>
    <w:rsid w:val="00865726"/>
    <w:rsid w:val="008815EE"/>
    <w:rsid w:val="00883A5C"/>
    <w:rsid w:val="008A22E9"/>
    <w:rsid w:val="008B43B1"/>
    <w:rsid w:val="008F51E2"/>
    <w:rsid w:val="008F5694"/>
    <w:rsid w:val="00901EBC"/>
    <w:rsid w:val="00903048"/>
    <w:rsid w:val="009078FF"/>
    <w:rsid w:val="00925922"/>
    <w:rsid w:val="009457C8"/>
    <w:rsid w:val="00947882"/>
    <w:rsid w:val="00953FFE"/>
    <w:rsid w:val="00964F7C"/>
    <w:rsid w:val="009703AF"/>
    <w:rsid w:val="00974174"/>
    <w:rsid w:val="009741D1"/>
    <w:rsid w:val="00974C28"/>
    <w:rsid w:val="00976E37"/>
    <w:rsid w:val="00986609"/>
    <w:rsid w:val="009A2D16"/>
    <w:rsid w:val="009A3B4A"/>
    <w:rsid w:val="009C41B8"/>
    <w:rsid w:val="009C447F"/>
    <w:rsid w:val="009E305C"/>
    <w:rsid w:val="009F7856"/>
    <w:rsid w:val="00A10BA1"/>
    <w:rsid w:val="00A174CC"/>
    <w:rsid w:val="00A2357C"/>
    <w:rsid w:val="00A443CA"/>
    <w:rsid w:val="00A553FE"/>
    <w:rsid w:val="00A77B8E"/>
    <w:rsid w:val="00A817A9"/>
    <w:rsid w:val="00A824BE"/>
    <w:rsid w:val="00A82FBB"/>
    <w:rsid w:val="00AA4711"/>
    <w:rsid w:val="00AC3830"/>
    <w:rsid w:val="00AD201A"/>
    <w:rsid w:val="00AD2884"/>
    <w:rsid w:val="00AD5A3A"/>
    <w:rsid w:val="00AD759B"/>
    <w:rsid w:val="00AE2E79"/>
    <w:rsid w:val="00AE4E97"/>
    <w:rsid w:val="00AE528C"/>
    <w:rsid w:val="00AF4998"/>
    <w:rsid w:val="00B03B7F"/>
    <w:rsid w:val="00B10FF1"/>
    <w:rsid w:val="00B1187F"/>
    <w:rsid w:val="00B35CC8"/>
    <w:rsid w:val="00B47589"/>
    <w:rsid w:val="00B762CB"/>
    <w:rsid w:val="00B80910"/>
    <w:rsid w:val="00BD6C0B"/>
    <w:rsid w:val="00BD7967"/>
    <w:rsid w:val="00BE4F5A"/>
    <w:rsid w:val="00BE54DC"/>
    <w:rsid w:val="00C05DA8"/>
    <w:rsid w:val="00C11CDB"/>
    <w:rsid w:val="00C55633"/>
    <w:rsid w:val="00C621EE"/>
    <w:rsid w:val="00C7480B"/>
    <w:rsid w:val="00C8775F"/>
    <w:rsid w:val="00C95FB7"/>
    <w:rsid w:val="00CD2C82"/>
    <w:rsid w:val="00CD5A9A"/>
    <w:rsid w:val="00CE2141"/>
    <w:rsid w:val="00CF1CA9"/>
    <w:rsid w:val="00CF59EA"/>
    <w:rsid w:val="00D04287"/>
    <w:rsid w:val="00D062BE"/>
    <w:rsid w:val="00D10857"/>
    <w:rsid w:val="00D13AD5"/>
    <w:rsid w:val="00D23567"/>
    <w:rsid w:val="00D46663"/>
    <w:rsid w:val="00D55443"/>
    <w:rsid w:val="00D77E1C"/>
    <w:rsid w:val="00D820A5"/>
    <w:rsid w:val="00DD58AA"/>
    <w:rsid w:val="00DE01F5"/>
    <w:rsid w:val="00E034BE"/>
    <w:rsid w:val="00E204BF"/>
    <w:rsid w:val="00E37077"/>
    <w:rsid w:val="00E50727"/>
    <w:rsid w:val="00E863D4"/>
    <w:rsid w:val="00E9203A"/>
    <w:rsid w:val="00E969AE"/>
    <w:rsid w:val="00EA149C"/>
    <w:rsid w:val="00ED0350"/>
    <w:rsid w:val="00ED3787"/>
    <w:rsid w:val="00ED4569"/>
    <w:rsid w:val="00EE484F"/>
    <w:rsid w:val="00EF2448"/>
    <w:rsid w:val="00EF4AAE"/>
    <w:rsid w:val="00F00E0B"/>
    <w:rsid w:val="00F110F7"/>
    <w:rsid w:val="00F15498"/>
    <w:rsid w:val="00F276D0"/>
    <w:rsid w:val="00F62692"/>
    <w:rsid w:val="00F711CE"/>
    <w:rsid w:val="00F74510"/>
    <w:rsid w:val="00F82C4D"/>
    <w:rsid w:val="00F9028E"/>
    <w:rsid w:val="00F911F1"/>
    <w:rsid w:val="00F943F9"/>
    <w:rsid w:val="00F976DD"/>
    <w:rsid w:val="00FA1DC3"/>
    <w:rsid w:val="00FB300C"/>
    <w:rsid w:val="00FB5632"/>
    <w:rsid w:val="00FC2269"/>
    <w:rsid w:val="00FF4171"/>
    <w:rsid w:val="0C44D61D"/>
    <w:rsid w:val="26E0DC6B"/>
    <w:rsid w:val="3C446ADA"/>
    <w:rsid w:val="4A46A9AE"/>
    <w:rsid w:val="4CBB48CD"/>
    <w:rsid w:val="6579B462"/>
    <w:rsid w:val="68FD3DB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561865239">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agesd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agesdb.org/phages/Nanosmi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48</cp:revision>
  <dcterms:created xsi:type="dcterms:W3CDTF">2025-03-25T08:46:00Z</dcterms:created>
  <dcterms:modified xsi:type="dcterms:W3CDTF">2025-09-22T12:57:00Z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