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16AC" w14:textId="7D373089" w:rsidR="00A174CC" w:rsidRPr="00C95FB7" w:rsidRDefault="008815EE">
      <w:pPr>
        <w:rPr>
          <w:rFonts w:ascii="Aptos" w:hAnsi="Aptos"/>
        </w:rPr>
      </w:pPr>
      <w:r w:rsidRPr="00C95FB7">
        <w:rPr>
          <w:rFonts w:ascii="Aptos" w:hAnsi="Aptos"/>
          <w:noProof/>
        </w:rPr>
        <w:drawing>
          <wp:anchor distT="0" distB="0" distL="114300" distR="114300" simplePos="0" relativeHeight="2" behindDoc="0" locked="0" layoutInCell="1" allowOverlap="1" wp14:anchorId="022C069D" wp14:editId="1547047B">
            <wp:simplePos x="0" y="0"/>
            <wp:positionH relativeFrom="margin">
              <wp:align>center</wp:align>
            </wp:positionH>
            <wp:positionV relativeFrom="paragraph">
              <wp:posOffset>569</wp:posOffset>
            </wp:positionV>
            <wp:extent cx="1223010" cy="752475"/>
            <wp:effectExtent l="0" t="0" r="0" b="9525"/>
            <wp:wrapSquare wrapText="bothSides"/>
            <wp:docPr id="1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28E">
        <w:rPr>
          <w:rFonts w:ascii="Aptos" w:hAnsi="Aptos"/>
        </w:rPr>
        <w:tab/>
      </w:r>
    </w:p>
    <w:p w14:paraId="6E66958E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708456F4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008BDE9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0A6A637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2E75D10D" w14:textId="2FE7F010" w:rsidR="00A174CC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6FF165AF" w14:textId="1D1DDA3C" w:rsidR="007E667B" w:rsidRPr="00683D0C" w:rsidRDefault="007E667B" w:rsidP="007E667B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 xml:space="preserve">The International Committee </w:t>
      </w:r>
      <w:r w:rsidR="00382FE8">
        <w:rPr>
          <w:rFonts w:ascii="Aptos SemiBold" w:hAnsi="Aptos SemiBold" w:cs="Arial"/>
          <w:color w:val="000000" w:themeColor="text1"/>
        </w:rPr>
        <w:t>on</w:t>
      </w:r>
      <w:r w:rsidRPr="00683D0C">
        <w:rPr>
          <w:rFonts w:ascii="Aptos SemiBold" w:hAnsi="Aptos SemiBold" w:cs="Arial"/>
          <w:color w:val="000000" w:themeColor="text1"/>
        </w:rPr>
        <w:t xml:space="preserve"> Taxonomy of Viruses</w:t>
      </w:r>
    </w:p>
    <w:p w14:paraId="57C569A0" w14:textId="7AB29B0C" w:rsidR="007E667B" w:rsidRPr="00683D0C" w:rsidRDefault="007E667B" w:rsidP="00ED4569">
      <w:pPr>
        <w:jc w:val="center"/>
        <w:rPr>
          <w:rFonts w:ascii="Aptos SemiBold" w:hAnsi="Aptos SemiBold" w:cs="Arial"/>
          <w:color w:val="000000" w:themeColor="text1"/>
        </w:rPr>
      </w:pPr>
      <w:r w:rsidRPr="00683D0C">
        <w:rPr>
          <w:rFonts w:ascii="Aptos SemiBold" w:hAnsi="Aptos SemiBold" w:cs="Arial"/>
          <w:color w:val="000000" w:themeColor="text1"/>
        </w:rPr>
        <w:t>Taxonomy Proposal Form,</w:t>
      </w:r>
      <w:r w:rsidR="00ED4569" w:rsidRPr="00683D0C">
        <w:rPr>
          <w:rFonts w:ascii="Aptos SemiBold" w:hAnsi="Aptos SemiBold" w:cs="Arial"/>
          <w:color w:val="000000" w:themeColor="text1"/>
        </w:rPr>
        <w:t xml:space="preserve"> 202</w:t>
      </w:r>
      <w:r w:rsidR="003F2A97">
        <w:rPr>
          <w:rFonts w:ascii="Aptos SemiBold" w:hAnsi="Aptos SemiBold" w:cs="Arial"/>
          <w:color w:val="000000" w:themeColor="text1"/>
        </w:rPr>
        <w:t>5</w:t>
      </w:r>
      <w:r w:rsidRPr="00683D0C">
        <w:rPr>
          <w:rFonts w:ascii="Aptos SemiBold" w:hAnsi="Aptos SemiBold" w:cs="Arial"/>
          <w:color w:val="000000" w:themeColor="text1"/>
        </w:rPr>
        <w:t xml:space="preserve"> </w:t>
      </w:r>
    </w:p>
    <w:p w14:paraId="62F097BF" w14:textId="77777777" w:rsidR="007E667B" w:rsidRPr="00ED4569" w:rsidRDefault="007E667B">
      <w:pPr>
        <w:rPr>
          <w:rFonts w:ascii="Aptos SemiBold" w:hAnsi="Aptos SemiBold" w:cs="Arial"/>
          <w:color w:val="0000FF"/>
        </w:rPr>
      </w:pPr>
    </w:p>
    <w:p w14:paraId="78E1A1E2" w14:textId="77777777" w:rsidR="00A174CC" w:rsidRPr="00C95FB7" w:rsidRDefault="00A174CC">
      <w:pPr>
        <w:rPr>
          <w:rFonts w:ascii="Aptos" w:hAnsi="Aptos" w:cs="Arial"/>
          <w:color w:val="0000FF"/>
          <w:sz w:val="20"/>
          <w:szCs w:val="20"/>
        </w:rPr>
      </w:pPr>
    </w:p>
    <w:p w14:paraId="5F396E33" w14:textId="0C036156" w:rsidR="00A174CC" w:rsidRDefault="00BE4F5A">
      <w:pPr>
        <w:rPr>
          <w:rFonts w:ascii="Aptos" w:hAnsi="Aptos" w:cs="Arial"/>
          <w:b/>
          <w:color w:val="000000"/>
          <w:sz w:val="20"/>
          <w:szCs w:val="20"/>
        </w:rPr>
      </w:pPr>
      <w:r w:rsidRPr="00C95FB7">
        <w:rPr>
          <w:rFonts w:ascii="Aptos" w:hAnsi="Aptos" w:cs="Arial"/>
          <w:b/>
          <w:color w:val="000000"/>
          <w:sz w:val="20"/>
          <w:szCs w:val="20"/>
        </w:rPr>
        <w:t>Part 1</w:t>
      </w:r>
      <w:r>
        <w:rPr>
          <w:rFonts w:ascii="Aptos" w:hAnsi="Aptos" w:cs="Arial"/>
          <w:b/>
          <w:color w:val="000000"/>
          <w:sz w:val="20"/>
          <w:szCs w:val="20"/>
        </w:rPr>
        <w:t>a</w:t>
      </w:r>
      <w:r w:rsidRPr="00C95FB7">
        <w:rPr>
          <w:rFonts w:ascii="Aptos" w:hAnsi="Aptos" w:cs="Arial"/>
          <w:b/>
          <w:color w:val="000000"/>
          <w:sz w:val="20"/>
          <w:szCs w:val="20"/>
        </w:rPr>
        <w:t>:</w:t>
      </w:r>
      <w:r>
        <w:rPr>
          <w:rFonts w:ascii="Aptos" w:hAnsi="Aptos" w:cs="Arial"/>
          <w:b/>
          <w:color w:val="000000"/>
          <w:sz w:val="20"/>
          <w:szCs w:val="20"/>
        </w:rPr>
        <w:t xml:space="preserve"> Details of taxonomy proposals</w:t>
      </w:r>
    </w:p>
    <w:p w14:paraId="3783A040" w14:textId="77777777" w:rsidR="00BE4F5A" w:rsidRPr="00C95FB7" w:rsidRDefault="00BE4F5A" w:rsidP="00DD58AA">
      <w:pPr>
        <w:rPr>
          <w:rFonts w:ascii="Aptos" w:hAnsi="Aptos" w:cs="Arial"/>
          <w:sz w:val="20"/>
          <w:szCs w:val="20"/>
          <w:lang w:val="en-GB"/>
        </w:rPr>
      </w:pPr>
    </w:p>
    <w:tbl>
      <w:tblPr>
        <w:tblW w:w="92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7361"/>
        <w:gridCol w:w="10"/>
      </w:tblGrid>
      <w:tr w:rsidR="00E37077" w:rsidRPr="00C95FB7" w14:paraId="3BAAFFE7" w14:textId="77777777" w:rsidTr="00106232">
        <w:trPr>
          <w:gridAfter w:val="1"/>
          <w:wAfter w:w="10" w:type="dxa"/>
        </w:trPr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421F5DC" w14:textId="07497378" w:rsidR="00E37077" w:rsidRPr="007E667B" w:rsidRDefault="00E37077" w:rsidP="00DD58AA">
            <w:pPr>
              <w:rPr>
                <w:rFonts w:ascii="Aptos" w:hAnsi="Aptos" w:cs="Arial"/>
                <w:sz w:val="20"/>
              </w:rPr>
            </w:pPr>
            <w:r w:rsidRPr="00ED4569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>itle</w:t>
            </w:r>
            <w:r w:rsidR="006C0F51">
              <w:rPr>
                <w:rFonts w:ascii="Aptos" w:hAnsi="Aptos" w:cs="Arial"/>
                <w:b/>
                <w:color w:val="000000"/>
                <w:sz w:val="20"/>
                <w:szCs w:val="20"/>
              </w:rPr>
              <w:t>:</w:t>
            </w:r>
            <w:r w:rsidRPr="00ED4569">
              <w:rPr>
                <w:rFonts w:ascii="Aptos" w:hAnsi="Aptos" w:cs="Arial"/>
                <w:b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7361" w:type="dxa"/>
            <w:shd w:val="clear" w:color="auto" w:fill="auto"/>
            <w:vAlign w:val="center"/>
          </w:tcPr>
          <w:p w14:paraId="693BF175" w14:textId="2AACBEB6" w:rsidR="00E37077" w:rsidRPr="001D0007" w:rsidRDefault="007555AD" w:rsidP="00DD58AA">
            <w:pPr>
              <w:rPr>
                <w:rFonts w:ascii="Aptos" w:hAnsi="Aptos" w:cs="Arial"/>
                <w:color w:val="000000" w:themeColor="text1"/>
                <w:sz w:val="20"/>
              </w:rPr>
            </w:pPr>
            <w:r>
              <w:rPr>
                <w:rFonts w:ascii="Aptos" w:hAnsi="Aptos" w:cs="Arial"/>
                <w:color w:val="000000" w:themeColor="text1"/>
                <w:sz w:val="20"/>
              </w:rPr>
              <w:t xml:space="preserve">Create one new family and two new species within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</w:p>
        </w:tc>
      </w:tr>
      <w:tr w:rsidR="00E37077" w:rsidRPr="00C95FB7" w14:paraId="6479468A" w14:textId="77777777" w:rsidTr="00106232">
        <w:tc>
          <w:tcPr>
            <w:tcW w:w="1853" w:type="dxa"/>
            <w:shd w:val="clear" w:color="auto" w:fill="F2F2F2" w:themeFill="background1" w:themeFillShade="F2"/>
            <w:vAlign w:val="center"/>
          </w:tcPr>
          <w:p w14:paraId="39458214" w14:textId="7ED90AF4" w:rsidR="00E37077" w:rsidRPr="00C95FB7" w:rsidRDefault="00E37077" w:rsidP="00DD58AA">
            <w:pPr>
              <w:pStyle w:val="BodyTextIndent"/>
              <w:ind w:left="0" w:firstLine="0"/>
              <w:rPr>
                <w:rFonts w:ascii="Aptos" w:hAnsi="Aptos" w:cs="Arial"/>
                <w:b/>
                <w:i/>
                <w:sz w:val="20"/>
              </w:rPr>
            </w:pPr>
            <w:r w:rsidRPr="00C95FB7">
              <w:rPr>
                <w:rFonts w:ascii="Aptos" w:hAnsi="Aptos" w:cs="Arial"/>
                <w:b/>
                <w:sz w:val="20"/>
              </w:rPr>
              <w:t xml:space="preserve">Code assigned: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9C1428" w14:textId="01FBFEFE" w:rsidR="00E37077" w:rsidRPr="00AD5A3A" w:rsidRDefault="007555AD" w:rsidP="00DD58AA">
            <w:pPr>
              <w:pStyle w:val="BodyTextIndent"/>
              <w:ind w:left="0" w:firstLine="0"/>
              <w:rPr>
                <w:rFonts w:ascii="Aptos" w:hAnsi="Aptos" w:cs="Arial"/>
                <w:bCs/>
                <w:i/>
                <w:sz w:val="20"/>
              </w:rPr>
            </w:pPr>
            <w:r>
              <w:rPr>
                <w:rFonts w:ascii="Aptos" w:hAnsi="Aptos" w:cs="Arial"/>
                <w:bCs/>
                <w:sz w:val="20"/>
              </w:rPr>
              <w:t>2025.004A</w:t>
            </w:r>
            <w:r w:rsidR="00834CFD" w:rsidRPr="00834CFD">
              <w:rPr>
                <w:rFonts w:ascii="Aptos" w:hAnsi="Aptos" w:cs="Arial"/>
                <w:bCs/>
                <w:sz w:val="20"/>
              </w:rPr>
              <w:t>.N.v2.</w:t>
            </w:r>
            <w:r>
              <w:rPr>
                <w:rFonts w:ascii="Aptos" w:hAnsi="Aptos" w:cs="Arial"/>
                <w:bCs/>
                <w:sz w:val="20"/>
              </w:rPr>
              <w:t>Pleomorphic_1nf_2ns</w:t>
            </w:r>
          </w:p>
        </w:tc>
      </w:tr>
    </w:tbl>
    <w:p w14:paraId="227C6F3B" w14:textId="1E7A1DCE" w:rsidR="00590DF3" w:rsidRPr="00AD5A3A" w:rsidRDefault="00590DF3" w:rsidP="00DD58AA">
      <w:pPr>
        <w:rPr>
          <w:rFonts w:ascii="Aptos" w:hAnsi="Aptos" w:cs="Arial"/>
          <w:b/>
          <w:color w:val="C00000"/>
          <w:sz w:val="20"/>
          <w:szCs w:val="20"/>
        </w:rPr>
      </w:pPr>
    </w:p>
    <w:tbl>
      <w:tblPr>
        <w:tblStyle w:val="TableGrid"/>
        <w:tblW w:w="9323" w:type="dxa"/>
        <w:tblLayout w:type="fixed"/>
        <w:tblLook w:val="04A0" w:firstRow="1" w:lastRow="0" w:firstColumn="1" w:lastColumn="0" w:noHBand="0" w:noVBand="1"/>
      </w:tblPr>
      <w:tblGrid>
        <w:gridCol w:w="1435"/>
        <w:gridCol w:w="1170"/>
        <w:gridCol w:w="3150"/>
        <w:gridCol w:w="2462"/>
        <w:gridCol w:w="1106"/>
      </w:tblGrid>
      <w:tr w:rsidR="002D4340" w14:paraId="46D8D295" w14:textId="4B68158E" w:rsidTr="00DE01F5">
        <w:trPr>
          <w:trHeight w:val="173"/>
        </w:trPr>
        <w:tc>
          <w:tcPr>
            <w:tcW w:w="9323" w:type="dxa"/>
            <w:gridSpan w:val="5"/>
            <w:shd w:val="clear" w:color="auto" w:fill="F2F2F2" w:themeFill="background1" w:themeFillShade="F2"/>
          </w:tcPr>
          <w:p w14:paraId="730FC69E" w14:textId="32EF31E6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Author(s)</w:t>
            </w:r>
            <w:r>
              <w:rPr>
                <w:rFonts w:ascii="Aptos" w:hAnsi="Aptos" w:cs="Arial"/>
                <w:b/>
                <w:sz w:val="20"/>
                <w:szCs w:val="20"/>
              </w:rPr>
              <w:t>, affiliation</w:t>
            </w:r>
            <w:r w:rsidRPr="009A3B4A">
              <w:rPr>
                <w:rFonts w:ascii="Aptos" w:hAnsi="Aptos" w:cs="Arial"/>
                <w:b/>
                <w:sz w:val="20"/>
                <w:szCs w:val="20"/>
              </w:rPr>
              <w:t xml:space="preserve"> and email address(es)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:  </w:t>
            </w:r>
          </w:p>
        </w:tc>
      </w:tr>
      <w:tr w:rsidR="002D4340" w14:paraId="142871FE" w14:textId="3F439A07" w:rsidTr="007555AD">
        <w:trPr>
          <w:trHeight w:val="411"/>
        </w:trPr>
        <w:tc>
          <w:tcPr>
            <w:tcW w:w="1435" w:type="dxa"/>
            <w:shd w:val="clear" w:color="auto" w:fill="F2F2F2" w:themeFill="background1" w:themeFillShade="F2"/>
            <w:vAlign w:val="center"/>
          </w:tcPr>
          <w:p w14:paraId="52C384EB" w14:textId="440506BF" w:rsidR="002D4340" w:rsidRPr="009A3B4A" w:rsidRDefault="00F943F9" w:rsidP="00DD58AA">
            <w:pPr>
              <w:rPr>
                <w:rFonts w:ascii="Aptos" w:hAnsi="Aptos" w:cs="Arial"/>
                <w:sz w:val="18"/>
                <w:szCs w:val="18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Given name (+middle initial(s)</w:t>
            </w:r>
            <w:r w:rsidR="00BD6C0B">
              <w:rPr>
                <w:rFonts w:ascii="Aptos" w:hAnsi="Aptos" w:cs="Arial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7F787B1" w14:textId="2A88FB11" w:rsidR="002D4340" w:rsidRPr="009A3B4A" w:rsidRDefault="00F943F9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Surname</w:t>
            </w:r>
          </w:p>
        </w:tc>
        <w:tc>
          <w:tcPr>
            <w:tcW w:w="3150" w:type="dxa"/>
            <w:shd w:val="clear" w:color="auto" w:fill="F2F2F2" w:themeFill="background1" w:themeFillShade="F2"/>
            <w:vAlign w:val="center"/>
          </w:tcPr>
          <w:p w14:paraId="31CF02AA" w14:textId="3ABD5DD8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9A3B4A">
              <w:rPr>
                <w:rFonts w:ascii="Aptos" w:hAnsi="Aptos" w:cs="Arial"/>
                <w:b/>
                <w:sz w:val="20"/>
                <w:szCs w:val="20"/>
              </w:rPr>
              <w:t>Affiliation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2" w:type="dxa"/>
            <w:shd w:val="clear" w:color="auto" w:fill="F2F2F2" w:themeFill="background1" w:themeFillShade="F2"/>
            <w:vAlign w:val="center"/>
          </w:tcPr>
          <w:p w14:paraId="6DA5FEAF" w14:textId="002D0560" w:rsidR="002D4340" w:rsidRPr="009A3B4A" w:rsidRDefault="002D4340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Email address 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14:paraId="27075D2D" w14:textId="762CFAF0" w:rsidR="00E863D4" w:rsidRDefault="002D4340" w:rsidP="00AF4998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sz w:val="20"/>
                <w:szCs w:val="20"/>
              </w:rPr>
              <w:t>Corr</w:t>
            </w:r>
            <w:r w:rsidR="00F943F9">
              <w:rPr>
                <w:rFonts w:ascii="Aptos" w:hAnsi="Aptos" w:cs="Arial"/>
                <w:b/>
                <w:sz w:val="20"/>
                <w:szCs w:val="20"/>
              </w:rPr>
              <w:t xml:space="preserve">.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author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(s)  </w:t>
            </w:r>
          </w:p>
          <w:p w14:paraId="1F78D756" w14:textId="0DC60150" w:rsidR="002D4340" w:rsidRPr="00AF4998" w:rsidRDefault="002D4340" w:rsidP="00AF4998">
            <w:pPr>
              <w:rPr>
                <w:rFonts w:ascii="Aptos" w:hAnsi="Aptos" w:cs="Arial"/>
                <w:color w:val="0070C0"/>
                <w:sz w:val="20"/>
                <w:szCs w:val="20"/>
              </w:rPr>
            </w:pPr>
          </w:p>
        </w:tc>
      </w:tr>
      <w:tr w:rsidR="007555AD" w:rsidRPr="00B214DD" w14:paraId="24E4F537" w14:textId="79E9BB15" w:rsidTr="007555AD">
        <w:tc>
          <w:tcPr>
            <w:tcW w:w="1435" w:type="dxa"/>
            <w:shd w:val="clear" w:color="auto" w:fill="FFFFFF" w:themeFill="background1"/>
            <w:vAlign w:val="center"/>
          </w:tcPr>
          <w:p w14:paraId="6EA9DED5" w14:textId="0BCAD764" w:rsidR="007555AD" w:rsidRPr="00CD2C82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Yifan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14:paraId="2759B022" w14:textId="7FB5DBA9" w:rsidR="007555AD" w:rsidRPr="00CD2C82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Zhou</w:t>
            </w:r>
          </w:p>
        </w:tc>
        <w:tc>
          <w:tcPr>
            <w:tcW w:w="3150" w:type="dxa"/>
            <w:shd w:val="clear" w:color="auto" w:fill="FFFFFF" w:themeFill="background1"/>
            <w:vAlign w:val="center"/>
          </w:tcPr>
          <w:p w14:paraId="05D68F1D" w14:textId="7EB8D568" w:rsidR="007555AD" w:rsidRPr="007555AD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Paris, France</w:t>
            </w:r>
          </w:p>
        </w:tc>
        <w:tc>
          <w:tcPr>
            <w:tcW w:w="2462" w:type="dxa"/>
            <w:shd w:val="clear" w:color="auto" w:fill="FFFFFF" w:themeFill="background1"/>
            <w:vAlign w:val="center"/>
          </w:tcPr>
          <w:p w14:paraId="133CF739" w14:textId="13DFF018" w:rsidR="007555AD" w:rsidRPr="00B214DD" w:rsidRDefault="00320F89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9" w:history="1">
              <w:r w:rsidR="007555AD" w:rsidRPr="00B214DD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yifan.zhou@pasteur.fr</w:t>
              </w:r>
            </w:hyperlink>
          </w:p>
        </w:tc>
        <w:tc>
          <w:tcPr>
            <w:tcW w:w="1106" w:type="dxa"/>
            <w:shd w:val="clear" w:color="auto" w:fill="FFFFFF" w:themeFill="background1"/>
            <w:vAlign w:val="center"/>
          </w:tcPr>
          <w:p w14:paraId="16BB015A" w14:textId="32E60C91" w:rsidR="007555AD" w:rsidRPr="00B214DD" w:rsidRDefault="007555AD" w:rsidP="007555A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</w:p>
        </w:tc>
      </w:tr>
      <w:tr w:rsidR="007555AD" w14:paraId="25991084" w14:textId="1F2FA2C1" w:rsidTr="007555AD">
        <w:tc>
          <w:tcPr>
            <w:tcW w:w="1435" w:type="dxa"/>
            <w:vAlign w:val="center"/>
          </w:tcPr>
          <w:p w14:paraId="7E9FF899" w14:textId="110A7F32" w:rsidR="007555AD" w:rsidRPr="00CD2C82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Mart</w:t>
            </w:r>
          </w:p>
        </w:tc>
        <w:tc>
          <w:tcPr>
            <w:tcW w:w="1170" w:type="dxa"/>
            <w:vAlign w:val="center"/>
          </w:tcPr>
          <w:p w14:paraId="065089F1" w14:textId="5ABE56A9" w:rsidR="007555AD" w:rsidRPr="00CD2C82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Krupovic</w:t>
            </w:r>
          </w:p>
        </w:tc>
        <w:tc>
          <w:tcPr>
            <w:tcW w:w="3150" w:type="dxa"/>
            <w:vAlign w:val="center"/>
          </w:tcPr>
          <w:p w14:paraId="5A10F992" w14:textId="530F85C2" w:rsidR="007555AD" w:rsidRPr="007555AD" w:rsidRDefault="007555AD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r w:rsidRPr="00587A38"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  <w:t>Institut Pasteur, Université Paris Cité, CNRS UMR6047, Archaeal Virology Unit, Paris, France</w:t>
            </w:r>
          </w:p>
        </w:tc>
        <w:tc>
          <w:tcPr>
            <w:tcW w:w="2462" w:type="dxa"/>
            <w:vAlign w:val="center"/>
          </w:tcPr>
          <w:p w14:paraId="584336C5" w14:textId="158B40B1" w:rsidR="007555AD" w:rsidRPr="00B214DD" w:rsidRDefault="00320F89" w:rsidP="007555AD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  <w:lang w:val="fr-FR"/>
              </w:rPr>
            </w:pPr>
            <w:hyperlink r:id="rId10" w:history="1">
              <w:r w:rsidR="007555AD" w:rsidRPr="00B214DD">
                <w:rPr>
                  <w:rStyle w:val="Hyperlink"/>
                  <w:rFonts w:ascii="Aptos" w:hAnsi="Aptos" w:cs="Arial"/>
                  <w:bCs/>
                  <w:sz w:val="20"/>
                  <w:szCs w:val="20"/>
                  <w:lang w:val="fr-FR"/>
                </w:rPr>
                <w:t>mart.krupovic@pasteur.fr</w:t>
              </w:r>
            </w:hyperlink>
          </w:p>
        </w:tc>
        <w:tc>
          <w:tcPr>
            <w:tcW w:w="1106" w:type="dxa"/>
            <w:vAlign w:val="center"/>
          </w:tcPr>
          <w:p w14:paraId="01837D6A" w14:textId="1A3D7848" w:rsidR="007555AD" w:rsidRPr="00CD2C82" w:rsidRDefault="007555AD" w:rsidP="007555AD">
            <w:pPr>
              <w:jc w:val="center"/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  <w:t>X</w:t>
            </w:r>
          </w:p>
        </w:tc>
      </w:tr>
    </w:tbl>
    <w:p w14:paraId="070FAC74" w14:textId="7A9A7276" w:rsidR="00A174CC" w:rsidRPr="00C95FB7" w:rsidRDefault="00A174CC" w:rsidP="00DD58AA">
      <w:pPr>
        <w:rPr>
          <w:rFonts w:ascii="Aptos" w:hAnsi="Aptos" w:cs="Arial"/>
          <w:b/>
          <w:sz w:val="20"/>
          <w:szCs w:val="20"/>
        </w:rPr>
      </w:pPr>
    </w:p>
    <w:p w14:paraId="27ACB96D" w14:textId="77777777" w:rsidR="00D062BE" w:rsidRDefault="00D062BE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  <w: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  <w:br w:type="page"/>
      </w:r>
    </w:p>
    <w:p w14:paraId="1382B4BD" w14:textId="3313F7C4" w:rsidR="000A7027" w:rsidRDefault="0067795B" w:rsidP="000A7027">
      <w:pPr>
        <w:spacing w:before="120"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lastRenderedPageBreak/>
        <w:t xml:space="preserve">Part 1b: </w:t>
      </w:r>
      <w:r w:rsidR="000A7027">
        <w:rPr>
          <w:rFonts w:ascii="Aptos" w:hAnsi="Aptos" w:cs="Arial"/>
          <w:b/>
          <w:sz w:val="20"/>
          <w:szCs w:val="20"/>
        </w:rPr>
        <w:t>Taxonomy Proposal Submission</w:t>
      </w:r>
      <w:r>
        <w:rPr>
          <w:rFonts w:ascii="Aptos" w:hAnsi="Aptos" w:cs="Arial"/>
          <w:b/>
          <w:sz w:val="20"/>
          <w:szCs w:val="20"/>
        </w:rPr>
        <w:t xml:space="preserve">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3945"/>
        <w:gridCol w:w="336"/>
        <w:gridCol w:w="3898"/>
        <w:gridCol w:w="326"/>
      </w:tblGrid>
      <w:tr w:rsidR="00683D0C" w14:paraId="02C75B6A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0F928364" w14:textId="3865C3C4" w:rsidR="00683D0C" w:rsidRDefault="00683D0C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ICTV Subcommittee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741D1" w14:paraId="3A2C652A" w14:textId="77777777" w:rsidTr="00974C28">
        <w:tc>
          <w:tcPr>
            <w:tcW w:w="3969" w:type="dxa"/>
          </w:tcPr>
          <w:p w14:paraId="350A9AF2" w14:textId="119F463E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Animal DNA Viruses and Retroviruses</w:t>
            </w:r>
          </w:p>
        </w:tc>
        <w:tc>
          <w:tcPr>
            <w:tcW w:w="284" w:type="dxa"/>
          </w:tcPr>
          <w:p w14:paraId="72E6FA8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2226CC64" w14:textId="03D21338" w:rsidR="00D062BE" w:rsidRPr="0023149A" w:rsidRDefault="00296DA3" w:rsidP="000A7027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Bacterial viruses</w:t>
            </w:r>
          </w:p>
        </w:tc>
        <w:tc>
          <w:tcPr>
            <w:tcW w:w="327" w:type="dxa"/>
          </w:tcPr>
          <w:p w14:paraId="457BD1CC" w14:textId="77777777" w:rsidR="00D062BE" w:rsidRDefault="00D062BE" w:rsidP="000A7027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0B035BDF" w14:textId="77777777" w:rsidTr="00974C28">
        <w:tc>
          <w:tcPr>
            <w:tcW w:w="3969" w:type="dxa"/>
          </w:tcPr>
          <w:p w14:paraId="5431BEDE" w14:textId="405E5CFC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minus-strand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and dsRNA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137436D9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6C68E165" w14:textId="14ACC1E9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Fungal and protist viruses</w:t>
            </w:r>
          </w:p>
        </w:tc>
        <w:tc>
          <w:tcPr>
            <w:tcW w:w="327" w:type="dxa"/>
          </w:tcPr>
          <w:p w14:paraId="0E9BD33C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5D08A151" w14:textId="77777777" w:rsidTr="00974C28">
        <w:tc>
          <w:tcPr>
            <w:tcW w:w="3969" w:type="dxa"/>
          </w:tcPr>
          <w:p w14:paraId="1AE840E5" w14:textId="20C0CA73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Animal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positive-strand </w:t>
            </w: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RNA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5B0E6496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25" w:type="dxa"/>
          </w:tcPr>
          <w:p w14:paraId="5235AEB3" w14:textId="6E12B24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Plant viruses</w:t>
            </w:r>
          </w:p>
        </w:tc>
        <w:tc>
          <w:tcPr>
            <w:tcW w:w="327" w:type="dxa"/>
          </w:tcPr>
          <w:p w14:paraId="707BEB8E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741D1" w14:paraId="683F5094" w14:textId="77777777" w:rsidTr="00974C28">
        <w:tc>
          <w:tcPr>
            <w:tcW w:w="3969" w:type="dxa"/>
          </w:tcPr>
          <w:p w14:paraId="2F218EA6" w14:textId="0F84C410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96DA3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Archaeal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viruses</w:t>
            </w:r>
          </w:p>
        </w:tc>
        <w:tc>
          <w:tcPr>
            <w:tcW w:w="284" w:type="dxa"/>
          </w:tcPr>
          <w:p w14:paraId="356A3133" w14:textId="401D201D" w:rsidR="00D062BE" w:rsidRDefault="007555A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3925" w:type="dxa"/>
          </w:tcPr>
          <w:p w14:paraId="45EE4286" w14:textId="483932AE" w:rsidR="00D062BE" w:rsidRPr="0023149A" w:rsidRDefault="00296DA3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General </w:t>
            </w:r>
            <w:r w:rsidR="00382FE8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-</w:t>
            </w:r>
          </w:p>
        </w:tc>
        <w:tc>
          <w:tcPr>
            <w:tcW w:w="327" w:type="dxa"/>
          </w:tcPr>
          <w:p w14:paraId="607AF614" w14:textId="77777777" w:rsidR="00D062BE" w:rsidRDefault="00D062B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719A3232" w14:textId="77777777" w:rsidR="00D062BE" w:rsidRDefault="00D062BE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0C5189" w14:paraId="1BAEEDB4" w14:textId="77777777" w:rsidTr="00683D0C">
        <w:trPr>
          <w:trHeight w:val="147"/>
        </w:trPr>
        <w:tc>
          <w:tcPr>
            <w:tcW w:w="8505" w:type="dxa"/>
            <w:shd w:val="clear" w:color="auto" w:fill="F2F2F2" w:themeFill="background1" w:themeFillShade="F2"/>
          </w:tcPr>
          <w:p w14:paraId="68D3AD5E" w14:textId="73281EE0" w:rsidR="00CF59EA" w:rsidRPr="000C5189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List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the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 xml:space="preserve">ICTV Study Group(s) that have seen </w:t>
            </w:r>
            <w:r>
              <w:rPr>
                <w:rFonts w:ascii="Aptos" w:hAnsi="Aptos" w:cs="Arial"/>
                <w:b/>
                <w:sz w:val="20"/>
                <w:szCs w:val="20"/>
              </w:rPr>
              <w:t>or have</w:t>
            </w:r>
            <w:r w:rsidR="008F51E2">
              <w:rPr>
                <w:rFonts w:ascii="Aptos" w:hAnsi="Aptos" w:cs="Arial"/>
                <w:b/>
                <w:sz w:val="20"/>
                <w:szCs w:val="20"/>
              </w:rPr>
              <w:t xml:space="preserve"> been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involved in creating </w:t>
            </w:r>
            <w:r w:rsidRPr="000C5189">
              <w:rPr>
                <w:rFonts w:ascii="Aptos" w:hAnsi="Aptos" w:cs="Arial"/>
                <w:b/>
                <w:sz w:val="20"/>
                <w:szCs w:val="20"/>
              </w:rPr>
              <w:t>this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  <w:hyperlink r:id="rId11" w:history="1"/>
          </w:p>
        </w:tc>
      </w:tr>
      <w:tr w:rsidR="0072682D" w:rsidRPr="000C5189" w14:paraId="0BE0A499" w14:textId="77777777" w:rsidTr="00FC2269">
        <w:trPr>
          <w:trHeight w:val="527"/>
        </w:trPr>
        <w:tc>
          <w:tcPr>
            <w:tcW w:w="8505" w:type="dxa"/>
            <w:shd w:val="clear" w:color="auto" w:fill="auto"/>
          </w:tcPr>
          <w:p w14:paraId="44334E47" w14:textId="784B8859" w:rsidR="0072682D" w:rsidRPr="00146EAB" w:rsidRDefault="003F5219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The TaxoProp has been seen by the Chair of the </w:t>
            </w:r>
            <w:r w:rsidR="00146EAB" w:rsidRPr="003F5219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146EAB">
              <w:rPr>
                <w:rFonts w:ascii="Aptos" w:hAnsi="Aptos" w:cs="Arial"/>
                <w:sz w:val="20"/>
                <w:szCs w:val="20"/>
              </w:rPr>
              <w:t xml:space="preserve"> Study Group </w:t>
            </w:r>
          </w:p>
          <w:p w14:paraId="7F4EC4CB" w14:textId="77777777" w:rsidR="0072682D" w:rsidRPr="000C5189" w:rsidRDefault="0072682D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321"/>
        <w:tblW w:w="8505" w:type="dxa"/>
        <w:tblLayout w:type="fixed"/>
        <w:tblLook w:val="04A0" w:firstRow="1" w:lastRow="0" w:firstColumn="1" w:lastColumn="0" w:noHBand="0" w:noVBand="1"/>
      </w:tblPr>
      <w:tblGrid>
        <w:gridCol w:w="2410"/>
        <w:gridCol w:w="1984"/>
        <w:gridCol w:w="1985"/>
        <w:gridCol w:w="2126"/>
      </w:tblGrid>
      <w:tr w:rsidR="00BE4F5A" w:rsidRPr="00C95FB7" w14:paraId="46E4A7D0" w14:textId="77777777" w:rsidTr="00683D0C">
        <w:tc>
          <w:tcPr>
            <w:tcW w:w="8505" w:type="dxa"/>
            <w:gridSpan w:val="4"/>
            <w:shd w:val="clear" w:color="auto" w:fill="F2F2F2" w:themeFill="background1" w:themeFillShade="F2"/>
          </w:tcPr>
          <w:p w14:paraId="2B285F81" w14:textId="2014F192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Optional – complete </w:t>
            </w:r>
            <w:r w:rsidR="00AF4998">
              <w:rPr>
                <w:rFonts w:ascii="Aptos" w:hAnsi="Aptos" w:cs="Arial"/>
                <w:b/>
                <w:sz w:val="20"/>
                <w:szCs w:val="20"/>
              </w:rPr>
              <w:t xml:space="preserve">only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if formally voted on by </w:t>
            </w:r>
            <w:r w:rsidR="007E667B">
              <w:rPr>
                <w:rFonts w:ascii="Aptos" w:hAnsi="Aptos" w:cs="Arial"/>
                <w:b/>
                <w:sz w:val="20"/>
                <w:szCs w:val="20"/>
              </w:rPr>
              <w:t xml:space="preserve">an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ICTV Study Group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BE4F5A" w:rsidRPr="00C95FB7" w14:paraId="177BF95A" w14:textId="77777777" w:rsidTr="00683D0C">
        <w:tc>
          <w:tcPr>
            <w:tcW w:w="2410" w:type="dxa"/>
            <w:vMerge w:val="restart"/>
            <w:shd w:val="clear" w:color="auto" w:fill="F2F2F2" w:themeFill="background1" w:themeFillShade="F2"/>
          </w:tcPr>
          <w:p w14:paraId="4D06A922" w14:textId="77777777" w:rsidR="00BE4F5A" w:rsidRPr="00C95FB7" w:rsidRDefault="00BE4F5A" w:rsidP="00DD58AA">
            <w:pP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Study Group</w:t>
            </w:r>
          </w:p>
        </w:tc>
        <w:tc>
          <w:tcPr>
            <w:tcW w:w="6095" w:type="dxa"/>
            <w:gridSpan w:val="3"/>
            <w:shd w:val="clear" w:color="auto" w:fill="F2F2F2" w:themeFill="background1" w:themeFillShade="F2"/>
          </w:tcPr>
          <w:p w14:paraId="13935DA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Number of members</w:t>
            </w:r>
          </w:p>
        </w:tc>
      </w:tr>
      <w:tr w:rsidR="00BE4F5A" w:rsidRPr="00C95FB7" w14:paraId="7D7BE950" w14:textId="77777777" w:rsidTr="00683D0C">
        <w:tc>
          <w:tcPr>
            <w:tcW w:w="2410" w:type="dxa"/>
            <w:vMerge/>
            <w:shd w:val="clear" w:color="auto" w:fill="F2F2F2" w:themeFill="background1" w:themeFillShade="F2"/>
          </w:tcPr>
          <w:p w14:paraId="0A19C1F2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193228FF" w14:textId="5D9C75C8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Votes </w:t>
            </w:r>
            <w:r w:rsidR="00382FE8">
              <w:rPr>
                <w:rFonts w:ascii="Aptos" w:hAnsi="Aptos" w:cs="Arial"/>
                <w:b/>
                <w:bCs/>
                <w:sz w:val="20"/>
                <w:szCs w:val="20"/>
              </w:rPr>
              <w:t xml:space="preserve">in 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support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345B8E70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Votes against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7742353" w14:textId="77777777" w:rsidR="00BE4F5A" w:rsidRPr="00C95FB7" w:rsidRDefault="00BE4F5A" w:rsidP="00DD58AA">
            <w:pPr>
              <w:jc w:val="center"/>
              <w:rPr>
                <w:rFonts w:ascii="Aptos" w:hAnsi="Aptos" w:cs="Arial"/>
                <w:b/>
                <w:bCs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No vote</w:t>
            </w:r>
          </w:p>
        </w:tc>
      </w:tr>
      <w:tr w:rsidR="00BE4F5A" w:rsidRPr="00C95FB7" w14:paraId="6CEB31DD" w14:textId="77777777" w:rsidTr="00BE4F5A">
        <w:tc>
          <w:tcPr>
            <w:tcW w:w="2410" w:type="dxa"/>
            <w:shd w:val="clear" w:color="auto" w:fill="auto"/>
          </w:tcPr>
          <w:p w14:paraId="15B28AD1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D842500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18C703A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BA4B66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  <w:tr w:rsidR="00BE4F5A" w:rsidRPr="00C95FB7" w14:paraId="790E8B2E" w14:textId="77777777" w:rsidTr="00BE4F5A">
        <w:tc>
          <w:tcPr>
            <w:tcW w:w="2410" w:type="dxa"/>
            <w:shd w:val="clear" w:color="auto" w:fill="auto"/>
          </w:tcPr>
          <w:p w14:paraId="15E4D2C4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67656D7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4EE1AF9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8D8405" w14:textId="77777777" w:rsidR="00BE4F5A" w:rsidRPr="00C95FB7" w:rsidRDefault="00BE4F5A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08D64203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075650D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52CF01EB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37164B1D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9F9724A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288B6A67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7EC641D6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p w14:paraId="116BCF49" w14:textId="77777777" w:rsidR="003A18C5" w:rsidRDefault="003A18C5" w:rsidP="003A18C5">
      <w:pPr>
        <w:rPr>
          <w:rFonts w:ascii="Aptos" w:hAnsi="Aptos" w:cs="Arial"/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9"/>
        <w:tblW w:w="0" w:type="auto"/>
        <w:tblLook w:val="04A0" w:firstRow="1" w:lastRow="0" w:firstColumn="1" w:lastColumn="0" w:noHBand="0" w:noVBand="1"/>
      </w:tblPr>
      <w:tblGrid>
        <w:gridCol w:w="2268"/>
        <w:gridCol w:w="1701"/>
      </w:tblGrid>
      <w:tr w:rsidR="003A18C5" w14:paraId="529229AA" w14:textId="77777777" w:rsidTr="008F51E2">
        <w:trPr>
          <w:trHeight w:val="244"/>
        </w:trPr>
        <w:tc>
          <w:tcPr>
            <w:tcW w:w="2268" w:type="dxa"/>
            <w:shd w:val="clear" w:color="auto" w:fill="F2F2F2" w:themeFill="background1" w:themeFillShade="F2"/>
          </w:tcPr>
          <w:p w14:paraId="753A3328" w14:textId="5DACA3B3" w:rsidR="003A18C5" w:rsidRDefault="003A18C5" w:rsidP="00C95E56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S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ubmission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54C988CE" w14:textId="256C3284" w:rsidR="003A18C5" w:rsidRPr="001D0007" w:rsidRDefault="003A18C5" w:rsidP="00C95E56">
            <w:pPr>
              <w:rPr>
                <w:rFonts w:ascii="Aptos" w:hAnsi="Aptos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ptos" w:hAnsi="Aptos" w:cs="Arial"/>
                <w:bCs/>
                <w:sz w:val="20"/>
                <w:szCs w:val="20"/>
              </w:rPr>
              <w:t xml:space="preserve">  </w:t>
            </w:r>
            <w:r w:rsidR="007555AD">
              <w:rPr>
                <w:rFonts w:ascii="Aptos" w:hAnsi="Aptos" w:cs="Arial"/>
                <w:bCs/>
                <w:sz w:val="20"/>
                <w:szCs w:val="20"/>
              </w:rPr>
              <w:t>20.06.2025</w:t>
            </w:r>
          </w:p>
        </w:tc>
      </w:tr>
    </w:tbl>
    <w:p w14:paraId="46934237" w14:textId="77777777" w:rsidR="003A18C5" w:rsidRDefault="003A18C5" w:rsidP="003A18C5">
      <w:pPr>
        <w:rPr>
          <w:rFonts w:ascii="Aptos" w:hAnsi="Aptos" w:cs="Arial"/>
          <w:b/>
          <w:sz w:val="20"/>
          <w:szCs w:val="20"/>
        </w:rPr>
      </w:pPr>
    </w:p>
    <w:p w14:paraId="71426659" w14:textId="77777777" w:rsidR="003A18C5" w:rsidRDefault="003A18C5" w:rsidP="00DD58AA">
      <w:pPr>
        <w:ind w:right="828"/>
        <w:rPr>
          <w:rFonts w:ascii="Aptos" w:hAnsi="Aptos" w:cs="Arial"/>
          <w:b/>
          <w:sz w:val="20"/>
          <w:szCs w:val="20"/>
        </w:rPr>
      </w:pPr>
    </w:p>
    <w:p w14:paraId="6142524C" w14:textId="604389DE" w:rsidR="0072682D" w:rsidRPr="00F110F7" w:rsidRDefault="0067795B" w:rsidP="003A18C5">
      <w:pPr>
        <w:spacing w:after="120"/>
        <w:ind w:right="828"/>
        <w:rPr>
          <w:rFonts w:ascii="Aptos" w:hAnsi="Aptos" w:cs="Arial"/>
          <w:color w:val="0070C0"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1c: </w:t>
      </w:r>
      <w:r w:rsidR="000A7027">
        <w:rPr>
          <w:rFonts w:ascii="Aptos" w:hAnsi="Aptos" w:cs="Arial"/>
          <w:b/>
          <w:sz w:val="20"/>
          <w:szCs w:val="20"/>
        </w:rPr>
        <w:t xml:space="preserve">Feedback from </w:t>
      </w:r>
      <w:r w:rsidR="00382FE8">
        <w:rPr>
          <w:rFonts w:ascii="Aptos" w:hAnsi="Aptos" w:cs="Arial"/>
          <w:b/>
          <w:sz w:val="20"/>
          <w:szCs w:val="20"/>
        </w:rPr>
        <w:t xml:space="preserve">ICTV </w:t>
      </w:r>
      <w:r w:rsidR="000A7027">
        <w:rPr>
          <w:rFonts w:ascii="Aptos" w:hAnsi="Aptos" w:cs="Arial"/>
          <w:b/>
          <w:sz w:val="20"/>
          <w:szCs w:val="20"/>
        </w:rPr>
        <w:t xml:space="preserve">Executive Committee </w:t>
      </w:r>
      <w:r w:rsidR="0058465A">
        <w:rPr>
          <w:rFonts w:ascii="Aptos" w:hAnsi="Aptos" w:cs="Arial"/>
          <w:b/>
          <w:sz w:val="20"/>
          <w:szCs w:val="20"/>
        </w:rPr>
        <w:t xml:space="preserve">(EC) </w:t>
      </w:r>
      <w:r w:rsidR="000A7027">
        <w:rPr>
          <w:rFonts w:ascii="Aptos" w:hAnsi="Aptos" w:cs="Arial"/>
          <w:b/>
          <w:sz w:val="20"/>
          <w:szCs w:val="20"/>
        </w:rPr>
        <w:t xml:space="preserve">meeting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080"/>
        <w:gridCol w:w="425"/>
      </w:tblGrid>
      <w:tr w:rsidR="000A7027" w14:paraId="584B88AC" w14:textId="77777777" w:rsidTr="00683D0C">
        <w:tc>
          <w:tcPr>
            <w:tcW w:w="8080" w:type="dxa"/>
            <w:shd w:val="clear" w:color="auto" w:fill="F2F2F2" w:themeFill="background1" w:themeFillShade="F2"/>
          </w:tcPr>
          <w:p w14:paraId="7394893D" w14:textId="4310FBEC" w:rsidR="000A7027" w:rsidRPr="0067795B" w:rsidRDefault="00CF59EA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Executive Committee Meeting Decision </w:t>
            </w:r>
            <w:r w:rsidR="0067795B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code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25" w:type="dxa"/>
          </w:tcPr>
          <w:p w14:paraId="2461D595" w14:textId="77777777" w:rsidR="000A7027" w:rsidRPr="00C95FB7" w:rsidRDefault="000A7027" w:rsidP="00DD58AA">
            <w:pPr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</w:pPr>
            <w:r w:rsidRPr="00C95FB7">
              <w:rPr>
                <w:rFonts w:ascii="Aptos" w:eastAsia="Times" w:hAnsi="Aptos" w:cs="Arial"/>
                <w:b/>
                <w:color w:val="A6A6A6" w:themeColor="background1" w:themeShade="A6"/>
                <w:sz w:val="20"/>
                <w:szCs w:val="20"/>
                <w:lang w:eastAsia="en-GB"/>
              </w:rPr>
              <w:t>X</w:t>
            </w:r>
          </w:p>
        </w:tc>
      </w:tr>
      <w:tr w:rsidR="000A7027" w14:paraId="78B67569" w14:textId="77777777" w:rsidTr="00BE4F5A">
        <w:tc>
          <w:tcPr>
            <w:tcW w:w="8080" w:type="dxa"/>
          </w:tcPr>
          <w:p w14:paraId="64C71CA1" w14:textId="554F4337" w:rsidR="000A7027" w:rsidRPr="00737875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737875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–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Accept</w:t>
            </w:r>
          </w:p>
        </w:tc>
        <w:tc>
          <w:tcPr>
            <w:tcW w:w="425" w:type="dxa"/>
          </w:tcPr>
          <w:p w14:paraId="45A226C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3369515D" w14:textId="77777777" w:rsidTr="00BE4F5A">
        <w:tc>
          <w:tcPr>
            <w:tcW w:w="8080" w:type="dxa"/>
          </w:tcPr>
          <w:p w14:paraId="0AC3242D" w14:textId="789F6726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 – Accept subject to revision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by relevant subcommittee chair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. No further vote required</w:t>
            </w:r>
          </w:p>
        </w:tc>
        <w:tc>
          <w:tcPr>
            <w:tcW w:w="425" w:type="dxa"/>
          </w:tcPr>
          <w:p w14:paraId="7B4F7C87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D9CF6FC" w14:textId="77777777" w:rsidTr="00BE4F5A">
        <w:tc>
          <w:tcPr>
            <w:tcW w:w="8080" w:type="dxa"/>
          </w:tcPr>
          <w:p w14:paraId="6A631C3F" w14:textId="5891AD4C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Accept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without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revision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but with r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e-evaluation 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and email vote </w:t>
            </w:r>
            <w:r w:rsidR="000A7027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by the EC</w:t>
            </w:r>
          </w:p>
        </w:tc>
        <w:tc>
          <w:tcPr>
            <w:tcW w:w="425" w:type="dxa"/>
          </w:tcPr>
          <w:p w14:paraId="773F9751" w14:textId="178723F6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59BD71F4" w14:textId="77777777" w:rsidTr="00BE4F5A">
        <w:tc>
          <w:tcPr>
            <w:tcW w:w="8080" w:type="dxa"/>
          </w:tcPr>
          <w:p w14:paraId="69BC056D" w14:textId="0D3D89AC" w:rsidR="000A7027" w:rsidRPr="0023149A" w:rsidRDefault="000A7027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– </w:t>
            </w:r>
            <w:r w:rsidR="0058465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Accept subject to revision and re-evaluation and email vote by the EC</w:t>
            </w:r>
          </w:p>
        </w:tc>
        <w:tc>
          <w:tcPr>
            <w:tcW w:w="425" w:type="dxa"/>
          </w:tcPr>
          <w:p w14:paraId="6D29054E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0A7027" w14:paraId="2117D303" w14:textId="77777777" w:rsidTr="00BE4F5A">
        <w:tc>
          <w:tcPr>
            <w:tcW w:w="8080" w:type="dxa"/>
          </w:tcPr>
          <w:p w14:paraId="53C977C7" w14:textId="5CD27364" w:rsidR="000A7027" w:rsidRPr="0023149A" w:rsidRDefault="0058465A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Ud – Deferred to the next EC meeting, with an invitation to revise based on EC comments</w:t>
            </w:r>
          </w:p>
        </w:tc>
        <w:tc>
          <w:tcPr>
            <w:tcW w:w="425" w:type="dxa"/>
          </w:tcPr>
          <w:p w14:paraId="7304FAD6" w14:textId="77777777" w:rsidR="000A7027" w:rsidRDefault="000A7027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26CEB8AD" w14:textId="77777777" w:rsidTr="00BE4F5A">
        <w:tc>
          <w:tcPr>
            <w:tcW w:w="8080" w:type="dxa"/>
          </w:tcPr>
          <w:p w14:paraId="7764C134" w14:textId="09155EE7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J - Reject</w:t>
            </w:r>
          </w:p>
        </w:tc>
        <w:tc>
          <w:tcPr>
            <w:tcW w:w="425" w:type="dxa"/>
          </w:tcPr>
          <w:p w14:paraId="6F54E47E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03048" w14:paraId="3071CAAD" w14:textId="77777777" w:rsidTr="00BE4F5A">
        <w:tc>
          <w:tcPr>
            <w:tcW w:w="8080" w:type="dxa"/>
          </w:tcPr>
          <w:p w14:paraId="638F84E9" w14:textId="55B1FB64" w:rsidR="00903048" w:rsidRDefault="00903048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W - Withdrawn</w:t>
            </w:r>
          </w:p>
        </w:tc>
        <w:tc>
          <w:tcPr>
            <w:tcW w:w="425" w:type="dxa"/>
          </w:tcPr>
          <w:p w14:paraId="13EAC41A" w14:textId="77777777" w:rsidR="00903048" w:rsidRDefault="00903048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1219F415" w14:textId="2C9E8083" w:rsidR="000A7027" w:rsidRDefault="000A7027" w:rsidP="00DD58AA">
      <w:pPr>
        <w:rPr>
          <w:rFonts w:ascii="Aptos" w:eastAsia="Times" w:hAnsi="Aptos" w:cs="Arial"/>
          <w:b/>
          <w:color w:val="000000"/>
          <w:sz w:val="20"/>
          <w:szCs w:val="20"/>
          <w:lang w:eastAsia="en-GB"/>
        </w:rPr>
      </w:pP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049461B0" w14:textId="77777777" w:rsidTr="00683D0C">
        <w:trPr>
          <w:trHeight w:val="211"/>
        </w:trPr>
        <w:tc>
          <w:tcPr>
            <w:tcW w:w="8505" w:type="dxa"/>
            <w:shd w:val="clear" w:color="auto" w:fill="F2F2F2" w:themeFill="background1" w:themeFillShade="F2"/>
          </w:tcPr>
          <w:p w14:paraId="49D4D24B" w14:textId="7D9D5ACE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Comments from the Executive Committee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</w:p>
        </w:tc>
      </w:tr>
      <w:tr w:rsidR="000A7027" w:rsidRPr="00C95FB7" w14:paraId="7B05B82E" w14:textId="77777777" w:rsidTr="00BE4F5A">
        <w:trPr>
          <w:trHeight w:val="794"/>
        </w:trPr>
        <w:tc>
          <w:tcPr>
            <w:tcW w:w="8505" w:type="dxa"/>
            <w:shd w:val="clear" w:color="auto" w:fill="auto"/>
          </w:tcPr>
          <w:p w14:paraId="352B8AE1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58B433" w14:textId="77777777" w:rsidR="000A7027" w:rsidRPr="00C95FB7" w:rsidRDefault="000A7027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p w14:paraId="51E643B3" w14:textId="7B2EB0AB" w:rsidR="009741D1" w:rsidRDefault="009741D1" w:rsidP="00DD58AA">
      <w:pPr>
        <w:rPr>
          <w:rFonts w:ascii="Aptos" w:hAnsi="Aptos" w:cs="Arial"/>
          <w:b/>
          <w:sz w:val="20"/>
          <w:szCs w:val="20"/>
        </w:rPr>
      </w:pPr>
    </w:p>
    <w:p w14:paraId="493C87B5" w14:textId="77777777" w:rsidR="00DD58AA" w:rsidRDefault="00DD58AA" w:rsidP="00DD58AA">
      <w:pPr>
        <w:rPr>
          <w:rFonts w:ascii="Aptos" w:hAnsi="Aptos" w:cs="Arial"/>
          <w:b/>
          <w:sz w:val="20"/>
          <w:szCs w:val="20"/>
        </w:rPr>
      </w:pPr>
    </w:p>
    <w:p w14:paraId="1F76B955" w14:textId="72EE336E" w:rsidR="00C95FB7" w:rsidRDefault="0067795B" w:rsidP="003A18C5">
      <w:pPr>
        <w:spacing w:after="120"/>
        <w:rPr>
          <w:rFonts w:ascii="Aptos" w:hAnsi="Aptos" w:cs="Arial"/>
          <w:b/>
          <w:sz w:val="20"/>
          <w:szCs w:val="20"/>
        </w:rPr>
      </w:pPr>
      <w:r>
        <w:rPr>
          <w:rFonts w:ascii="Aptos" w:hAnsi="Aptos" w:cs="Arial"/>
          <w:b/>
          <w:sz w:val="20"/>
          <w:szCs w:val="20"/>
        </w:rPr>
        <w:t xml:space="preserve">Part 1d: </w:t>
      </w:r>
      <w:r w:rsidR="00C95FB7">
        <w:rPr>
          <w:rFonts w:ascii="Aptos" w:hAnsi="Aptos" w:cs="Arial"/>
          <w:b/>
          <w:sz w:val="20"/>
          <w:szCs w:val="20"/>
        </w:rPr>
        <w:t xml:space="preserve">Revised Taxonomy Proposal Submission </w:t>
      </w:r>
    </w:p>
    <w:tbl>
      <w:tblPr>
        <w:tblStyle w:val="TableGrid"/>
        <w:tblW w:w="8505" w:type="dxa"/>
        <w:tblInd w:w="-5" w:type="dxa"/>
        <w:tblLook w:val="04A0" w:firstRow="1" w:lastRow="0" w:firstColumn="1" w:lastColumn="0" w:noHBand="0" w:noVBand="1"/>
      </w:tblPr>
      <w:tblGrid>
        <w:gridCol w:w="8505"/>
      </w:tblGrid>
      <w:tr w:rsidR="00CF59EA" w:rsidRPr="00C95FB7" w14:paraId="37F4B0FE" w14:textId="77777777" w:rsidTr="00683D0C">
        <w:tc>
          <w:tcPr>
            <w:tcW w:w="8505" w:type="dxa"/>
            <w:shd w:val="clear" w:color="auto" w:fill="F2F2F2" w:themeFill="background1" w:themeFillShade="F2"/>
          </w:tcPr>
          <w:p w14:paraId="0B8993B8" w14:textId="7E6D779B" w:rsidR="00CF59EA" w:rsidRPr="00C95FB7" w:rsidRDefault="00CF59E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Response </w:t>
            </w:r>
            <w:r w:rsidRPr="00C95FB7">
              <w:rPr>
                <w:rFonts w:ascii="Aptos" w:hAnsi="Aptos" w:cs="Arial"/>
                <w:b/>
                <w:sz w:val="20"/>
                <w:szCs w:val="20"/>
              </w:rPr>
              <w:t>of proposer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296DA3" w:rsidRPr="00C95FB7" w14:paraId="2A62C96B" w14:textId="77777777" w:rsidTr="00BE4F5A">
        <w:tc>
          <w:tcPr>
            <w:tcW w:w="8505" w:type="dxa"/>
            <w:shd w:val="clear" w:color="auto" w:fill="auto"/>
          </w:tcPr>
          <w:p w14:paraId="4483A209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54C5CACA" w14:textId="367B5D6C" w:rsidR="00296DA3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761B7407" w14:textId="77777777" w:rsidR="00F110F7" w:rsidRPr="00C95FB7" w:rsidRDefault="00F110F7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430177EE" w14:textId="77777777" w:rsidR="00296DA3" w:rsidRPr="00C95FB7" w:rsidRDefault="00296DA3" w:rsidP="00DD58AA">
            <w:pPr>
              <w:rPr>
                <w:rFonts w:ascii="Aptos" w:hAnsi="Aptos" w:cs="Arial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4"/>
        <w:tblW w:w="0" w:type="auto"/>
        <w:tblLook w:val="04A0" w:firstRow="1" w:lastRow="0" w:firstColumn="1" w:lastColumn="0" w:noHBand="0" w:noVBand="1"/>
      </w:tblPr>
      <w:tblGrid>
        <w:gridCol w:w="1980"/>
        <w:gridCol w:w="1843"/>
      </w:tblGrid>
      <w:tr w:rsidR="00BE4F5A" w14:paraId="5AF16E14" w14:textId="77777777" w:rsidTr="001D0007">
        <w:trPr>
          <w:trHeight w:val="244"/>
        </w:trPr>
        <w:tc>
          <w:tcPr>
            <w:tcW w:w="1980" w:type="dxa"/>
            <w:shd w:val="clear" w:color="auto" w:fill="F2F2F2" w:themeFill="background1" w:themeFillShade="F2"/>
          </w:tcPr>
          <w:p w14:paraId="006DDA83" w14:textId="70A2AC88" w:rsidR="00BE4F5A" w:rsidRDefault="00BE4F5A" w:rsidP="00DD58AA">
            <w:pPr>
              <w:ind w:left="174"/>
              <w:rPr>
                <w:rFonts w:ascii="Aptos" w:hAnsi="Aptos" w:cs="Arial"/>
                <w:bCs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sz w:val="20"/>
                <w:szCs w:val="20"/>
              </w:rPr>
              <w:t>Revi</w:t>
            </w:r>
            <w:r w:rsidRPr="00C95FB7">
              <w:rPr>
                <w:rFonts w:ascii="Aptos" w:hAnsi="Aptos" w:cs="Arial"/>
                <w:b/>
                <w:bCs/>
                <w:sz w:val="20"/>
                <w:szCs w:val="20"/>
              </w:rPr>
              <w:t>sion date</w:t>
            </w:r>
            <w:r w:rsidR="006C0F51">
              <w:rPr>
                <w:rFonts w:ascii="Aptos" w:hAnsi="Aptos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43" w:type="dxa"/>
          </w:tcPr>
          <w:p w14:paraId="11649694" w14:textId="42B6A122" w:rsidR="00BE4F5A" w:rsidRDefault="00BE4F5A" w:rsidP="00DD58AA">
            <w:pPr>
              <w:rPr>
                <w:rFonts w:ascii="Aptos" w:hAnsi="Aptos" w:cs="Arial"/>
                <w:bCs/>
                <w:sz w:val="20"/>
                <w:szCs w:val="20"/>
              </w:rPr>
            </w:pPr>
          </w:p>
        </w:tc>
      </w:tr>
    </w:tbl>
    <w:p w14:paraId="5F5E1C06" w14:textId="77777777" w:rsidR="00953FFE" w:rsidRDefault="00953FFE" w:rsidP="00DD58AA">
      <w:pPr>
        <w:ind w:firstLine="720"/>
        <w:rPr>
          <w:rFonts w:ascii="Aptos" w:hAnsi="Aptos" w:cs="Arial"/>
          <w:b/>
          <w:bCs/>
          <w:sz w:val="20"/>
          <w:szCs w:val="20"/>
        </w:rPr>
      </w:pPr>
    </w:p>
    <w:p w14:paraId="7C2D104C" w14:textId="583D60E8" w:rsidR="00CF59EA" w:rsidRDefault="00CF59EA" w:rsidP="00DD58AA">
      <w:pPr>
        <w:rPr>
          <w:rFonts w:ascii="Aptos" w:hAnsi="Aptos" w:cs="Arial"/>
          <w:color w:val="C00000"/>
          <w:sz w:val="20"/>
          <w:szCs w:val="20"/>
        </w:rPr>
      </w:pPr>
    </w:p>
    <w:p w14:paraId="68D95475" w14:textId="77777777" w:rsidR="00953FFE" w:rsidRDefault="00953FFE" w:rsidP="00DD58AA">
      <w:pPr>
        <w:ind w:firstLine="720"/>
        <w:rPr>
          <w:rFonts w:ascii="Aptos" w:hAnsi="Aptos" w:cs="Arial"/>
          <w:b/>
          <w:sz w:val="20"/>
          <w:szCs w:val="20"/>
        </w:rPr>
      </w:pPr>
    </w:p>
    <w:p w14:paraId="42759BC8" w14:textId="77777777" w:rsidR="00953FFE" w:rsidRDefault="00953FFE">
      <w:pPr>
        <w:rPr>
          <w:rFonts w:ascii="Aptos" w:hAnsi="Aptos" w:cs="Arial"/>
          <w:b/>
          <w:color w:val="000000"/>
          <w:sz w:val="20"/>
          <w:szCs w:val="20"/>
        </w:rPr>
      </w:pPr>
      <w:r>
        <w:rPr>
          <w:rFonts w:ascii="Aptos" w:hAnsi="Aptos" w:cs="Arial"/>
          <w:b/>
          <w:color w:val="000000"/>
          <w:sz w:val="20"/>
          <w:szCs w:val="20"/>
        </w:rPr>
        <w:br w:type="page"/>
      </w:r>
      <w:permStart w:id="702228509" w:edGrp="everyone"/>
      <w:permEnd w:id="702228509"/>
    </w:p>
    <w:p w14:paraId="48DB7F5D" w14:textId="77777777" w:rsidR="00953FFE" w:rsidRPr="00382FE8" w:rsidRDefault="00953FFE" w:rsidP="00DD58AA">
      <w:pPr>
        <w:pStyle w:val="BodyTextIndent"/>
        <w:ind w:left="0" w:firstLine="0"/>
        <w:rPr>
          <w:rFonts w:ascii="Aptos" w:hAnsi="Aptos" w:cs="Arial"/>
          <w:color w:val="000000"/>
          <w:sz w:val="20"/>
        </w:rPr>
      </w:pPr>
      <w:r w:rsidRPr="009F7856">
        <w:rPr>
          <w:rFonts w:ascii="Aptos" w:hAnsi="Aptos" w:cs="Arial"/>
          <w:b/>
          <w:color w:val="000000"/>
          <w:sz w:val="20"/>
        </w:rPr>
        <w:lastRenderedPageBreak/>
        <w:t>Part 3:</w:t>
      </w:r>
      <w:r w:rsidRPr="009F7856">
        <w:rPr>
          <w:rFonts w:ascii="Aptos" w:hAnsi="Aptos" w:cs="Arial"/>
          <w:color w:val="000000"/>
          <w:sz w:val="20"/>
        </w:rPr>
        <w:t xml:space="preserve"> </w:t>
      </w:r>
      <w:r w:rsidRPr="00382FE8">
        <w:rPr>
          <w:rFonts w:ascii="Aptos" w:hAnsi="Aptos" w:cs="Arial"/>
          <w:b/>
          <w:color w:val="000000"/>
          <w:sz w:val="20"/>
        </w:rPr>
        <w:t>TAXONOMIC PROPOSAL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72"/>
        <w:gridCol w:w="425"/>
        <w:gridCol w:w="2410"/>
        <w:gridCol w:w="425"/>
      </w:tblGrid>
      <w:tr w:rsidR="00E37077" w14:paraId="61A08B0F" w14:textId="77777777" w:rsidTr="00023385">
        <w:tc>
          <w:tcPr>
            <w:tcW w:w="6232" w:type="dxa"/>
            <w:gridSpan w:val="4"/>
            <w:shd w:val="clear" w:color="auto" w:fill="F2F2F2" w:themeFill="background1" w:themeFillShade="F2"/>
          </w:tcPr>
          <w:p w14:paraId="577293E5" w14:textId="5CA56026" w:rsidR="00E37077" w:rsidRPr="00E37077" w:rsidRDefault="00E37077" w:rsidP="00DD58AA">
            <w:pPr>
              <w:rPr>
                <w:rFonts w:ascii="Aptos" w:eastAsia="Times" w:hAnsi="Aptos" w:cs="Arial"/>
                <w:b/>
                <w:color w:val="0070C0"/>
                <w:sz w:val="20"/>
                <w:szCs w:val="20"/>
                <w:lang w:eastAsia="en-GB"/>
              </w:rPr>
            </w:pPr>
            <w:r w:rsidRPr="00976E37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Taxonomic change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s proposed</w:t>
            </w:r>
            <w:r w:rsidR="006C0F51"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:</w:t>
            </w: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953FFE" w14:paraId="1E0D3D23" w14:textId="77777777" w:rsidTr="00023385">
        <w:tc>
          <w:tcPr>
            <w:tcW w:w="2972" w:type="dxa"/>
          </w:tcPr>
          <w:p w14:paraId="6B63C19C" w14:textId="375B7AAA" w:rsidR="00953FFE" w:rsidRPr="0023149A" w:rsidRDefault="00363A30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Establish</w:t>
            </w:r>
            <w:r w:rsidR="00953FFE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 xml:space="preserve"> new taxon</w:t>
            </w:r>
          </w:p>
        </w:tc>
        <w:tc>
          <w:tcPr>
            <w:tcW w:w="425" w:type="dxa"/>
          </w:tcPr>
          <w:p w14:paraId="6D0772EF" w14:textId="42DAC161" w:rsidR="00953FFE" w:rsidRDefault="007555AD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2410" w:type="dxa"/>
          </w:tcPr>
          <w:p w14:paraId="51D11F01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Split taxon</w:t>
            </w:r>
          </w:p>
        </w:tc>
        <w:tc>
          <w:tcPr>
            <w:tcW w:w="425" w:type="dxa"/>
          </w:tcPr>
          <w:p w14:paraId="5E9F3DA8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728F008B" w14:textId="77777777" w:rsidTr="00023385">
        <w:tc>
          <w:tcPr>
            <w:tcW w:w="2972" w:type="dxa"/>
          </w:tcPr>
          <w:p w14:paraId="7CEF18CA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Abolish taxon</w:t>
            </w:r>
          </w:p>
        </w:tc>
        <w:tc>
          <w:tcPr>
            <w:tcW w:w="425" w:type="dxa"/>
          </w:tcPr>
          <w:p w14:paraId="7B96FC9C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6A65D6FE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Merge taxon</w:t>
            </w:r>
          </w:p>
        </w:tc>
        <w:tc>
          <w:tcPr>
            <w:tcW w:w="425" w:type="dxa"/>
          </w:tcPr>
          <w:p w14:paraId="5FF5C4E2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272ED85B" w14:textId="77777777" w:rsidTr="00023385">
        <w:tc>
          <w:tcPr>
            <w:tcW w:w="2972" w:type="dxa"/>
          </w:tcPr>
          <w:p w14:paraId="7314CAA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taxon</w:t>
            </w:r>
          </w:p>
        </w:tc>
        <w:tc>
          <w:tcPr>
            <w:tcW w:w="425" w:type="dxa"/>
          </w:tcPr>
          <w:p w14:paraId="7FAF7A1A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09EC2704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Promote taxon</w:t>
            </w:r>
          </w:p>
        </w:tc>
        <w:tc>
          <w:tcPr>
            <w:tcW w:w="425" w:type="dxa"/>
          </w:tcPr>
          <w:p w14:paraId="43A189C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5BF9C33F" w14:textId="77777777" w:rsidTr="00023385">
        <w:tc>
          <w:tcPr>
            <w:tcW w:w="2972" w:type="dxa"/>
          </w:tcPr>
          <w:p w14:paraId="4B2EDEB8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Rename taxon</w:t>
            </w:r>
          </w:p>
        </w:tc>
        <w:tc>
          <w:tcPr>
            <w:tcW w:w="425" w:type="dxa"/>
          </w:tcPr>
          <w:p w14:paraId="60231381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10" w:type="dxa"/>
          </w:tcPr>
          <w:p w14:paraId="3CB033D3" w14:textId="77777777" w:rsidR="00953FFE" w:rsidRPr="0023149A" w:rsidRDefault="00953FFE" w:rsidP="00DD58AA">
            <w:pP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</w:pPr>
            <w:r w:rsidRPr="0023149A"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Demote taxon</w:t>
            </w:r>
          </w:p>
        </w:tc>
        <w:tc>
          <w:tcPr>
            <w:tcW w:w="425" w:type="dxa"/>
          </w:tcPr>
          <w:p w14:paraId="4EC0F813" w14:textId="77777777" w:rsidR="00953FFE" w:rsidRDefault="00953FFE" w:rsidP="00DD58AA">
            <w:pPr>
              <w:rPr>
                <w:rFonts w:ascii="Aptos" w:eastAsia="Times" w:hAnsi="Aptos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53FFE" w14:paraId="013D4D0A" w14:textId="77777777" w:rsidTr="00023385">
        <w:trPr>
          <w:gridAfter w:val="2"/>
          <w:wAfter w:w="2835" w:type="dxa"/>
        </w:trPr>
        <w:tc>
          <w:tcPr>
            <w:tcW w:w="2972" w:type="dxa"/>
          </w:tcPr>
          <w:p w14:paraId="17C439A1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eastAsia="Times" w:hAnsi="Aptos" w:cs="Arial"/>
                <w:color w:val="000000"/>
                <w:sz w:val="20"/>
                <w:szCs w:val="20"/>
                <w:lang w:eastAsia="en-GB"/>
              </w:rPr>
              <w:t>Move and rename</w:t>
            </w:r>
          </w:p>
        </w:tc>
        <w:tc>
          <w:tcPr>
            <w:tcW w:w="425" w:type="dxa"/>
          </w:tcPr>
          <w:p w14:paraId="5DE3A4FC" w14:textId="77777777" w:rsidR="00953FFE" w:rsidRDefault="00953FFE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063E591F" w14:textId="77777777" w:rsidR="00333392" w:rsidRDefault="00333392" w:rsidP="00333392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7"/>
        <w:gridCol w:w="6379"/>
      </w:tblGrid>
      <w:tr w:rsidR="00333392" w:rsidRPr="009F7856" w14:paraId="5823A95C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20EDA6C5" w14:textId="5D396E65" w:rsidR="00333392" w:rsidRPr="00220A26" w:rsidRDefault="00333392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Etymology </w:t>
            </w:r>
            <w:r w:rsidR="00FC2269">
              <w:rPr>
                <w:rFonts w:ascii="Aptos" w:hAnsi="Aptos" w:cs="Arial"/>
                <w:b/>
                <w:sz w:val="20"/>
                <w:szCs w:val="20"/>
              </w:rPr>
              <w:t xml:space="preserve">(origin) 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of proposed taxonomic names: </w:t>
            </w:r>
          </w:p>
        </w:tc>
      </w:tr>
      <w:tr w:rsidR="00333392" w:rsidRPr="009F7856" w14:paraId="08F7F3C3" w14:textId="77777777" w:rsidTr="00FC2269">
        <w:trPr>
          <w:trHeight w:val="73"/>
        </w:trPr>
        <w:tc>
          <w:tcPr>
            <w:tcW w:w="2547" w:type="dxa"/>
            <w:shd w:val="clear" w:color="auto" w:fill="auto"/>
          </w:tcPr>
          <w:p w14:paraId="6B25076F" w14:textId="0D060A7A" w:rsidR="00333392" w:rsidRPr="00C8775F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Taxon name </w:t>
            </w:r>
          </w:p>
        </w:tc>
        <w:tc>
          <w:tcPr>
            <w:tcW w:w="6379" w:type="dxa"/>
            <w:shd w:val="clear" w:color="auto" w:fill="auto"/>
          </w:tcPr>
          <w:p w14:paraId="069B2570" w14:textId="77777777" w:rsidR="00333392" w:rsidRPr="00CF59EA" w:rsidRDefault="00333392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Etymology of the term</w:t>
            </w:r>
          </w:p>
        </w:tc>
      </w:tr>
      <w:tr w:rsidR="00333392" w:rsidRPr="007555AD" w14:paraId="48273F44" w14:textId="77777777" w:rsidTr="00040CB0">
        <w:trPr>
          <w:trHeight w:val="71"/>
        </w:trPr>
        <w:tc>
          <w:tcPr>
            <w:tcW w:w="2547" w:type="dxa"/>
            <w:shd w:val="clear" w:color="auto" w:fill="auto"/>
            <w:vAlign w:val="center"/>
          </w:tcPr>
          <w:p w14:paraId="2B4F2A8D" w14:textId="129A8CE7" w:rsidR="00333392" w:rsidRPr="007555AD" w:rsidRDefault="007555AD" w:rsidP="00040CB0">
            <w:pPr>
              <w:jc w:val="both"/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 w:cs="Arial"/>
                <w:bCs/>
                <w:i/>
                <w:iCs/>
                <w:color w:val="000000" w:themeColor="text1"/>
                <w:sz w:val="20"/>
                <w:szCs w:val="20"/>
              </w:rPr>
              <w:t>Nanopleoviridae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7202B3B" w14:textId="3AFE6355" w:rsidR="00333392" w:rsidRPr="007555AD" w:rsidRDefault="007555AD" w:rsidP="00040CB0">
            <w:pPr>
              <w:jc w:val="both"/>
              <w:rPr>
                <w:rFonts w:ascii="Aptos" w:hAnsi="Aptos" w:cs="Arial"/>
                <w:color w:val="000000"/>
                <w:sz w:val="20"/>
                <w:szCs w:val="20"/>
              </w:rPr>
            </w:pP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from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555AD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Nano</w:t>
            </w: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haloarchaea+</w:t>
            </w:r>
            <w:r w:rsidRPr="007555AD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pleo</w:t>
            </w:r>
            <w:r w:rsidRPr="007555AD">
              <w:rPr>
                <w:rFonts w:ascii="Aptos" w:hAnsi="Aptos" w:cs="Arial"/>
                <w:color w:val="000000"/>
                <w:sz w:val="20"/>
                <w:szCs w:val="20"/>
              </w:rPr>
              <w:t>morphic</w:t>
            </w:r>
            <w:r>
              <w:rPr>
                <w:rFonts w:ascii="Aptos" w:hAnsi="Aptos" w:cs="Arial"/>
                <w:color w:val="000000"/>
                <w:sz w:val="20"/>
                <w:szCs w:val="20"/>
              </w:rPr>
              <w:t>, referring to host and inferred virion morphology</w:t>
            </w:r>
          </w:p>
        </w:tc>
      </w:tr>
      <w:tr w:rsidR="007555AD" w:rsidRPr="007555AD" w14:paraId="7AAF5EF0" w14:textId="77777777" w:rsidTr="007D29E5">
        <w:trPr>
          <w:trHeight w:val="71"/>
        </w:trPr>
        <w:tc>
          <w:tcPr>
            <w:tcW w:w="2547" w:type="dxa"/>
            <w:shd w:val="clear" w:color="auto" w:fill="auto"/>
          </w:tcPr>
          <w:p w14:paraId="24B2DC76" w14:textId="6FEFD886" w:rsidR="007555AD" w:rsidRPr="007555AD" w:rsidRDefault="007555AD" w:rsidP="007555AD">
            <w:pPr>
              <w:jc w:val="both"/>
              <w:rPr>
                <w:rFonts w:ascii="Aptos" w:hAnsi="Aptos" w:cs="Arial"/>
                <w:b/>
                <w:i/>
                <w:iCs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/>
                <w:i/>
                <w:iCs/>
                <w:sz w:val="20"/>
                <w:szCs w:val="20"/>
              </w:rPr>
              <w:t>Milaagivirus</w:t>
            </w:r>
          </w:p>
        </w:tc>
        <w:tc>
          <w:tcPr>
            <w:tcW w:w="6379" w:type="dxa"/>
            <w:shd w:val="clear" w:color="auto" w:fill="auto"/>
          </w:tcPr>
          <w:p w14:paraId="7CC05CA7" w14:textId="60BCB17C" w:rsidR="007555AD" w:rsidRPr="007555AD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7555AD">
              <w:rPr>
                <w:rFonts w:ascii="Aptos" w:hAnsi="Aptos"/>
                <w:sz w:val="20"/>
                <w:szCs w:val="20"/>
              </w:rPr>
              <w:t xml:space="preserve">after </w:t>
            </w:r>
            <w:r w:rsidRPr="007555AD">
              <w:rPr>
                <w:rFonts w:ascii="Aptos" w:hAnsi="Aptos"/>
                <w:b/>
                <w:bCs/>
                <w:sz w:val="20"/>
                <w:szCs w:val="20"/>
              </w:rPr>
              <w:t>milaagi</w:t>
            </w:r>
            <w:r w:rsidRPr="007555AD">
              <w:rPr>
                <w:rFonts w:ascii="Aptos" w:hAnsi="Aptos"/>
                <w:sz w:val="20"/>
                <w:szCs w:val="20"/>
              </w:rPr>
              <w:t xml:space="preserve"> for shifting in Afar language</w:t>
            </w:r>
            <w:r>
              <w:rPr>
                <w:rFonts w:ascii="Aptos" w:hAnsi="Aptos"/>
                <w:sz w:val="20"/>
                <w:szCs w:val="20"/>
              </w:rPr>
              <w:t>, referring to inferred pleomorphic virion morphology</w:t>
            </w:r>
          </w:p>
        </w:tc>
      </w:tr>
      <w:tr w:rsidR="007555AD" w:rsidRPr="009F7856" w14:paraId="1165141A" w14:textId="77777777" w:rsidTr="00901BEA">
        <w:trPr>
          <w:trHeight w:val="71"/>
        </w:trPr>
        <w:tc>
          <w:tcPr>
            <w:tcW w:w="2547" w:type="dxa"/>
            <w:shd w:val="clear" w:color="auto" w:fill="auto"/>
          </w:tcPr>
          <w:p w14:paraId="2D7AAFF0" w14:textId="25D514E0" w:rsidR="007555AD" w:rsidRPr="00040CB0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i/>
                <w:iCs/>
                <w:sz w:val="20"/>
                <w:szCs w:val="20"/>
              </w:rPr>
              <w:t>danakilense</w:t>
            </w:r>
          </w:p>
        </w:tc>
        <w:tc>
          <w:tcPr>
            <w:tcW w:w="6379" w:type="dxa"/>
            <w:shd w:val="clear" w:color="auto" w:fill="auto"/>
          </w:tcPr>
          <w:p w14:paraId="56BC5065" w14:textId="650A1312" w:rsidR="007555AD" w:rsidRPr="00040CB0" w:rsidRDefault="007555AD" w:rsidP="007555AD">
            <w:pPr>
              <w:jc w:val="both"/>
              <w:rPr>
                <w:rFonts w:ascii="Aptos" w:hAnsi="Aptos" w:cs="Arial"/>
                <w:b/>
                <w:color w:val="000000" w:themeColor="text1"/>
                <w:sz w:val="20"/>
                <w:szCs w:val="20"/>
              </w:rPr>
            </w:pPr>
            <w:r w:rsidRPr="00F2057B">
              <w:rPr>
                <w:rFonts w:ascii="Aptos" w:hAnsi="Aptos"/>
                <w:sz w:val="20"/>
                <w:szCs w:val="20"/>
              </w:rPr>
              <w:t xml:space="preserve">Latinized species epithet is derived from </w:t>
            </w:r>
            <w:r w:rsidRPr="00F2057B">
              <w:rPr>
                <w:rFonts w:ascii="Aptos" w:hAnsi="Aptos"/>
                <w:b/>
                <w:bCs/>
                <w:sz w:val="20"/>
                <w:szCs w:val="20"/>
              </w:rPr>
              <w:t>Danakil</w:t>
            </w:r>
            <w:r w:rsidRPr="00F2057B">
              <w:rPr>
                <w:rFonts w:ascii="Aptos" w:hAnsi="Aptos"/>
                <w:sz w:val="20"/>
                <w:szCs w:val="20"/>
              </w:rPr>
              <w:t xml:space="preserve"> depression, source of isolation/sequencing</w:t>
            </w:r>
          </w:p>
        </w:tc>
      </w:tr>
    </w:tbl>
    <w:p w14:paraId="664528E2" w14:textId="77777777" w:rsidR="00333392" w:rsidRDefault="00333392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276"/>
      </w:tblGrid>
      <w:tr w:rsidR="00333392" w14:paraId="5E86B6E0" w14:textId="77777777" w:rsidTr="00483563">
        <w:tc>
          <w:tcPr>
            <w:tcW w:w="8926" w:type="dxa"/>
            <w:gridSpan w:val="3"/>
            <w:shd w:val="clear" w:color="auto" w:fill="F2F2F2" w:themeFill="background1" w:themeFillShade="F2"/>
          </w:tcPr>
          <w:p w14:paraId="2B545D29" w14:textId="45BB7953" w:rsidR="00333392" w:rsidRDefault="00333392" w:rsidP="00333392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Permission for use of names derived from </w:t>
            </w:r>
            <w:r w:rsidRPr="009F140A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 living person</w:t>
            </w: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:  </w:t>
            </w:r>
          </w:p>
        </w:tc>
      </w:tr>
      <w:tr w:rsidR="00DD58AA" w14:paraId="28DCB929" w14:textId="77777777" w:rsidTr="00FC2269">
        <w:tc>
          <w:tcPr>
            <w:tcW w:w="2547" w:type="dxa"/>
          </w:tcPr>
          <w:p w14:paraId="71228610" w14:textId="16682F7A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Taxon name</w:t>
            </w:r>
          </w:p>
        </w:tc>
        <w:tc>
          <w:tcPr>
            <w:tcW w:w="5103" w:type="dxa"/>
          </w:tcPr>
          <w:p w14:paraId="547E1A15" w14:textId="7404A137" w:rsidR="00DD58AA" w:rsidRDefault="00E863D4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Full name of p</w:t>
            </w:r>
            <w:r w:rsidR="00DD58AA"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erson from whom the name is derived</w:t>
            </w:r>
          </w:p>
        </w:tc>
        <w:tc>
          <w:tcPr>
            <w:tcW w:w="1276" w:type="dxa"/>
          </w:tcPr>
          <w:p w14:paraId="04BB84A7" w14:textId="442A4536" w:rsidR="00DD58AA" w:rsidRDefault="00DD58AA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>A</w:t>
            </w:r>
            <w:r w:rsidRPr="00C95FB7">
              <w:rPr>
                <w:rFonts w:ascii="Aptos" w:hAnsi="Aptos" w:cs="Arial"/>
                <w:b/>
                <w:bCs/>
                <w:color w:val="000000"/>
                <w:sz w:val="20"/>
                <w:szCs w:val="20"/>
              </w:rPr>
              <w:t xml:space="preserve">ttached </w:t>
            </w:r>
          </w:p>
        </w:tc>
      </w:tr>
      <w:tr w:rsidR="00DD58AA" w14:paraId="640B0925" w14:textId="77777777" w:rsidTr="00040CB0">
        <w:tc>
          <w:tcPr>
            <w:tcW w:w="2547" w:type="dxa"/>
            <w:vAlign w:val="center"/>
          </w:tcPr>
          <w:p w14:paraId="36B8201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0B466DA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3DA9821" w14:textId="77777777" w:rsidR="00DD58AA" w:rsidRPr="00040CB0" w:rsidRDefault="00DD58AA" w:rsidP="00040CB0">
            <w:pPr>
              <w:jc w:val="both"/>
              <w:rPr>
                <w:rFonts w:ascii="Aptos" w:hAnsi="Aptos" w:cs="Arial"/>
                <w:color w:val="000000" w:themeColor="text1"/>
                <w:sz w:val="20"/>
                <w:szCs w:val="20"/>
              </w:rPr>
            </w:pPr>
          </w:p>
        </w:tc>
      </w:tr>
    </w:tbl>
    <w:p w14:paraId="06696706" w14:textId="14A20076" w:rsidR="00DD58AA" w:rsidRDefault="00DD58AA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E84D0F2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5831EE03" w14:textId="3B573D4B" w:rsidR="00A77B8E" w:rsidRDefault="00A77B8E" w:rsidP="00DD58A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0C5189">
              <w:rPr>
                <w:rFonts w:ascii="Aptos" w:hAnsi="Aptos" w:cs="Arial"/>
                <w:b/>
                <w:sz w:val="20"/>
                <w:szCs w:val="20"/>
              </w:rPr>
              <w:t>Abstract</w:t>
            </w:r>
            <w:r w:rsidR="002A5A83">
              <w:rPr>
                <w:rFonts w:ascii="Aptos" w:hAnsi="Aptos" w:cs="Arial"/>
                <w:b/>
                <w:sz w:val="20"/>
                <w:szCs w:val="20"/>
              </w:rPr>
              <w:t xml:space="preserve"> of Taxonomy Proposal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>
              <w:rPr>
                <w:rFonts w:ascii="Aptos" w:hAnsi="Aptos" w:cs="Arial"/>
                <w:b/>
                <w:sz w:val="20"/>
                <w:szCs w:val="20"/>
              </w:rPr>
              <w:t xml:space="preserve"> </w:t>
            </w:r>
          </w:p>
        </w:tc>
      </w:tr>
      <w:tr w:rsidR="00A77B8E" w14:paraId="62FCA94B" w14:textId="77777777" w:rsidTr="00A77B8E">
        <w:tc>
          <w:tcPr>
            <w:tcW w:w="8926" w:type="dxa"/>
          </w:tcPr>
          <w:p w14:paraId="4FD7E42A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858EDEF" w14:textId="79402908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5B42F4CB" w14:textId="6C5B8AF3" w:rsidR="00A77B8E" w:rsidRDefault="006A5FFA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</w:p>
          <w:p w14:paraId="36975B16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32B5F2E1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BDAAF2E" w14:textId="3E390641" w:rsidR="006A5FFA" w:rsidRPr="006A5FFA" w:rsidRDefault="006A5FFA" w:rsidP="006A5FF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Monodnavirian kingdom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comprises two families,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(Liu et al., 2022)</w:t>
            </w:r>
            <w:r>
              <w:rPr>
                <w:rFonts w:ascii="Aptos" w:hAnsi="Aptos" w:cs="Arial"/>
                <w:sz w:val="20"/>
                <w:szCs w:val="20"/>
              </w:rPr>
              <w:t>, which includes haloarchaeal viruses with enveloped pleomorphic virions and single-stranded (ss) or double-stranded (ds)</w:t>
            </w:r>
            <w:r w:rsidR="004C087B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DNA genomes, and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Calorviricota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Caminiviricetes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Ageovirales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4823AB" w:rsidRPr="004823AB">
              <w:rPr>
                <w:rFonts w:ascii="Aptos" w:hAnsi="Aptos" w:cs="Arial"/>
                <w:sz w:val="20"/>
                <w:szCs w:val="20"/>
              </w:rPr>
              <w:t>Baquero</w:t>
            </w:r>
            <w:r w:rsidR="004823AB">
              <w:rPr>
                <w:rFonts w:ascii="Aptos" w:hAnsi="Aptos" w:cs="Arial"/>
                <w:sz w:val="20"/>
                <w:szCs w:val="20"/>
              </w:rPr>
              <w:t xml:space="preserve"> et al., 2024)</w:t>
            </w:r>
            <w:r>
              <w:rPr>
                <w:rFonts w:ascii="Aptos" w:hAnsi="Aptos" w:cs="Arial"/>
                <w:sz w:val="20"/>
                <w:szCs w:val="20"/>
              </w:rPr>
              <w:t xml:space="preserve">, which contains pleomorphic viruses infecting hyperthermophilic anaerobic archaea of the class Archaeoglobi. </w:t>
            </w:r>
            <w:r w:rsidR="004C087B">
              <w:rPr>
                <w:rFonts w:ascii="Aptos" w:hAnsi="Aptos" w:cs="Arial"/>
                <w:sz w:val="20"/>
                <w:szCs w:val="20"/>
              </w:rPr>
              <w:t>Both f</w:t>
            </w:r>
            <w:r>
              <w:rPr>
                <w:rFonts w:ascii="Aptos" w:hAnsi="Aptos" w:cs="Arial"/>
                <w:sz w:val="20"/>
                <w:szCs w:val="20"/>
              </w:rPr>
              <w:t>amil</w:t>
            </w:r>
            <w:r w:rsidR="004C087B">
              <w:rPr>
                <w:rFonts w:ascii="Aptos" w:hAnsi="Aptos" w:cs="Arial"/>
                <w:sz w:val="20"/>
                <w:szCs w:val="20"/>
              </w:rPr>
              <w:t>ies</w:t>
            </w:r>
            <w:r>
              <w:rPr>
                <w:rFonts w:ascii="Aptos" w:hAnsi="Aptos" w:cs="Arial"/>
                <w:sz w:val="20"/>
                <w:szCs w:val="20"/>
              </w:rPr>
              <w:t xml:space="preserve"> comprise three genera.</w:t>
            </w:r>
          </w:p>
          <w:p w14:paraId="09336122" w14:textId="678E2E16" w:rsidR="00A77B8E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19D0D4AD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change(s):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    </w:t>
            </w:r>
          </w:p>
          <w:p w14:paraId="7B7BADE9" w14:textId="39C571A3" w:rsidR="00A77B8E" w:rsidRPr="006A5FFA" w:rsidRDefault="006A5FFA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creating one new species within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sz w:val="20"/>
                <w:szCs w:val="20"/>
              </w:rPr>
              <w:t>) and one new family, “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”, within the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for classification of viruses associated with archaea of the candidate phylum Nanohaloarchaeota.</w:t>
            </w:r>
          </w:p>
          <w:p w14:paraId="53F57983" w14:textId="77777777" w:rsidR="00FC2269" w:rsidRPr="00BE4F5A" w:rsidRDefault="00FC2269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E5BCB32" w14:textId="77777777" w:rsidR="00A77B8E" w:rsidRPr="00BE4F5A" w:rsidRDefault="00A77B8E" w:rsidP="00DD58AA">
            <w:pPr>
              <w:pStyle w:val="BodyTextIndent"/>
              <w:ind w:left="0" w:firstLine="0"/>
              <w:rPr>
                <w:rFonts w:ascii="Aptos" w:hAnsi="Aptos" w:cs="Arial"/>
                <w:color w:val="000000"/>
                <w:sz w:val="20"/>
              </w:rPr>
            </w:pPr>
            <w:r w:rsidRPr="00BE4F5A">
              <w:rPr>
                <w:rFonts w:ascii="Aptos" w:hAnsi="Aptos" w:cs="Arial"/>
                <w:i/>
                <w:sz w:val="20"/>
              </w:rPr>
              <w:t>Justification</w:t>
            </w:r>
            <w:r w:rsidRPr="00BE4F5A">
              <w:rPr>
                <w:rFonts w:ascii="Aptos" w:hAnsi="Aptos" w:cs="Arial"/>
                <w:sz w:val="20"/>
              </w:rPr>
              <w:t>:</w:t>
            </w:r>
          </w:p>
          <w:p w14:paraId="18507DF4" w14:textId="7549855B" w:rsidR="00FC2269" w:rsidRDefault="006A5FFA" w:rsidP="006A5FFA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6A5FFA">
              <w:rPr>
                <w:rFonts w:ascii="Aptos" w:hAnsi="Aptos" w:cs="Arial"/>
                <w:sz w:val="20"/>
                <w:szCs w:val="20"/>
              </w:rPr>
              <w:t xml:space="preserve">Previously established demarcation criteria for the family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suggested that Danakil Halobacteriales pleomorphic virus 1 should be placed within genus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. By contrast, Danakil Nanohaloarchaeota pleomorphic virus 1 branched outside of the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5E2D1E">
              <w:rPr>
                <w:rFonts w:ascii="Aptos" w:hAnsi="Aptos" w:cs="Arial"/>
                <w:sz w:val="20"/>
                <w:szCs w:val="20"/>
              </w:rPr>
              <w:t>, suggesting that it represents a separate virus family</w:t>
            </w:r>
            <w:r w:rsidRPr="006A5FFA"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0993B49E" w14:textId="0284C85D" w:rsidR="00A77B8E" w:rsidRDefault="00A77B8E" w:rsidP="00DD58AA">
      <w:pPr>
        <w:rPr>
          <w:rFonts w:ascii="Aptos" w:hAnsi="Aptos" w:cs="Arial"/>
          <w:color w:val="0000F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A77B8E" w14:paraId="059893B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4ECF6668" w14:textId="7D6590C2" w:rsidR="00A77B8E" w:rsidRDefault="00A77B8E" w:rsidP="007555AD">
            <w:pPr>
              <w:pStyle w:val="BodyTextIndent"/>
              <w:ind w:left="0" w:hanging="15"/>
              <w:rPr>
                <w:rFonts w:ascii="Aptos" w:hAnsi="Aptos" w:cs="Arial"/>
                <w:color w:val="0000FF"/>
                <w:sz w:val="20"/>
              </w:rPr>
            </w:pPr>
            <w:r>
              <w:rPr>
                <w:rFonts w:ascii="Aptos" w:hAnsi="Aptos" w:cs="Arial"/>
                <w:b/>
                <w:color w:val="000000"/>
                <w:sz w:val="20"/>
              </w:rPr>
              <w:t>Text of Taxonomy proposal</w:t>
            </w:r>
            <w:r w:rsidR="006C0F51">
              <w:rPr>
                <w:rFonts w:ascii="Aptos" w:hAnsi="Aptos" w:cs="Arial"/>
                <w:b/>
                <w:color w:val="000000"/>
                <w:sz w:val="20"/>
              </w:rPr>
              <w:t>:</w:t>
            </w:r>
            <w:r>
              <w:rPr>
                <w:rFonts w:ascii="Aptos" w:hAnsi="Aptos" w:cs="Arial"/>
                <w:b/>
                <w:color w:val="000000"/>
                <w:sz w:val="20"/>
              </w:rPr>
              <w:t xml:space="preserve">  </w:t>
            </w:r>
          </w:p>
        </w:tc>
      </w:tr>
      <w:tr w:rsidR="00A77B8E" w14:paraId="1E86E5C0" w14:textId="77777777" w:rsidTr="00A77B8E">
        <w:tc>
          <w:tcPr>
            <w:tcW w:w="8926" w:type="dxa"/>
          </w:tcPr>
          <w:p w14:paraId="49680848" w14:textId="77777777" w:rsidR="00A77B8E" w:rsidRDefault="00A77B8E" w:rsidP="00DD58AA">
            <w:pPr>
              <w:rPr>
                <w:rFonts w:ascii="Aptos" w:hAnsi="Aptos" w:cs="Arial"/>
                <w:b/>
                <w:i/>
                <w:sz w:val="20"/>
                <w:szCs w:val="20"/>
              </w:rPr>
            </w:pPr>
          </w:p>
          <w:p w14:paraId="29422506" w14:textId="24473449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 xml:space="preserve">Taxonomic </w:t>
            </w:r>
            <w:r w:rsidR="00363A30">
              <w:rPr>
                <w:rFonts w:ascii="Aptos" w:hAnsi="Aptos" w:cs="Arial"/>
                <w:i/>
                <w:sz w:val="20"/>
                <w:szCs w:val="20"/>
              </w:rPr>
              <w:t>rank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(s) affected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211CA2FB" w14:textId="77777777" w:rsidR="007555AD" w:rsidRDefault="007555AD" w:rsidP="007555AD">
            <w:pPr>
              <w:rPr>
                <w:rFonts w:ascii="Aptos" w:hAnsi="Aptos" w:cs="Arial"/>
                <w:sz w:val="20"/>
                <w:szCs w:val="20"/>
              </w:rPr>
            </w:pP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Monodnaviria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>;</w:t>
            </w:r>
            <w:r w:rsidRPr="006A5F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;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</w:p>
          <w:p w14:paraId="62A5463B" w14:textId="77777777" w:rsidR="007555AD" w:rsidRPr="00BE4F5A" w:rsidRDefault="007555AD" w:rsidP="007555AD">
            <w:pPr>
              <w:rPr>
                <w:rFonts w:ascii="Aptos" w:hAnsi="Aptos" w:cs="Arial"/>
                <w:sz w:val="20"/>
                <w:szCs w:val="20"/>
              </w:rPr>
            </w:pPr>
          </w:p>
          <w:p w14:paraId="3CFC08CF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Description of current taxonomy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 </w:t>
            </w:r>
          </w:p>
          <w:p w14:paraId="6626304D" w14:textId="3E3E723F" w:rsidR="007555AD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Monodnavirian kingdom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currently comprises two families, </w:t>
            </w:r>
            <w:r w:rsidRPr="000115DC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Saleviricota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Huolimaviricetes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Aptos" w:hAnsi="Aptos" w:cs="Arial"/>
                <w:sz w:val="20"/>
                <w:szCs w:val="20"/>
              </w:rPr>
              <w:t xml:space="preserve">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), which includes haloarchaeal viruses with enveloped pleomorphic virions and single-stranded (ss) or double-stranded (ds)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DNA genomes, and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 (phylum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Calorviricota</w:t>
            </w:r>
            <w:r>
              <w:rPr>
                <w:rFonts w:ascii="Aptos" w:hAnsi="Aptos" w:cs="Arial"/>
                <w:sz w:val="20"/>
                <w:szCs w:val="20"/>
              </w:rPr>
              <w:t xml:space="preserve">, class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Caminiviricetes</w:t>
            </w:r>
            <w:r>
              <w:rPr>
                <w:rFonts w:ascii="Aptos" w:hAnsi="Aptos" w:cs="Arial"/>
                <w:sz w:val="20"/>
                <w:szCs w:val="20"/>
              </w:rPr>
              <w:t xml:space="preserve">, order </w:t>
            </w:r>
            <w:r w:rsidRPr="00654598">
              <w:rPr>
                <w:rFonts w:ascii="Aptos" w:hAnsi="Aptos" w:cs="Arial"/>
                <w:i/>
                <w:iCs/>
                <w:sz w:val="20"/>
                <w:szCs w:val="20"/>
              </w:rPr>
              <w:t>Ageovirales</w:t>
            </w:r>
            <w:r>
              <w:rPr>
                <w:rFonts w:ascii="Aptos" w:hAnsi="Aptos" w:cs="Arial"/>
                <w:sz w:val="20"/>
                <w:szCs w:val="20"/>
              </w:rPr>
              <w:t xml:space="preserve">), which contains </w:t>
            </w:r>
            <w:r>
              <w:rPr>
                <w:rFonts w:ascii="Aptos" w:hAnsi="Aptos" w:cs="Arial"/>
                <w:sz w:val="20"/>
                <w:szCs w:val="20"/>
              </w:rPr>
              <w:lastRenderedPageBreak/>
              <w:t xml:space="preserve">pleomorphic viruses infecting hyperthermophilic anaerobic archaea of the class Archaeoglobi. </w:t>
            </w:r>
            <w:r w:rsidR="0007748F">
              <w:rPr>
                <w:rFonts w:ascii="Aptos" w:hAnsi="Aptos" w:cs="Arial"/>
                <w:sz w:val="20"/>
                <w:szCs w:val="20"/>
              </w:rPr>
              <w:t>Both families comprise three genera.</w:t>
            </w:r>
          </w:p>
          <w:p w14:paraId="01B94540" w14:textId="77777777" w:rsidR="0007748F" w:rsidRPr="00BE4F5A" w:rsidRDefault="0007748F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07EC2EC2" w14:textId="77777777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Proposed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BE4F5A">
              <w:rPr>
                <w:rFonts w:ascii="Aptos" w:hAnsi="Aptos" w:cs="Arial"/>
                <w:i/>
                <w:sz w:val="20"/>
                <w:szCs w:val="20"/>
              </w:rPr>
              <w:t>taxonomic change(s)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</w:t>
            </w:r>
          </w:p>
          <w:p w14:paraId="0BD1EAB0" w14:textId="7C4DBA4F" w:rsidR="00FC2269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We propose creating one new species within genus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>
              <w:rPr>
                <w:rFonts w:ascii="Aptos" w:hAnsi="Aptos" w:cs="Arial"/>
                <w:sz w:val="20"/>
                <w:szCs w:val="20"/>
              </w:rPr>
              <w:t>) and one new family, “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>
              <w:rPr>
                <w:rFonts w:ascii="Aptos" w:hAnsi="Aptos" w:cs="Arial"/>
                <w:sz w:val="20"/>
                <w:szCs w:val="20"/>
              </w:rPr>
              <w:t xml:space="preserve">”, within the order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for classification of viruses associated with archaea of the candidate phylum Nanohaloarchaeota.</w:t>
            </w:r>
          </w:p>
          <w:p w14:paraId="6307A676" w14:textId="77777777" w:rsidR="007555AD" w:rsidRPr="00BE4F5A" w:rsidRDefault="007555AD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266FF254" w14:textId="56C79F4A" w:rsidR="00273642" w:rsidRDefault="00273642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i/>
                <w:sz w:val="20"/>
                <w:szCs w:val="20"/>
              </w:rPr>
              <w:t>Demarcation criteria:</w:t>
            </w:r>
          </w:p>
          <w:p w14:paraId="12B2DEAD" w14:textId="7811F9B2" w:rsidR="00001448" w:rsidRPr="00001448" w:rsidRDefault="00001448" w:rsidP="00001448">
            <w:pPr>
              <w:rPr>
                <w:rFonts w:ascii="Aptos" w:hAnsi="Aptos" w:cs="Arial"/>
                <w:iCs/>
                <w:sz w:val="20"/>
                <w:szCs w:val="20"/>
                <w:u w:val="single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  <w:u w:val="single"/>
              </w:rPr>
              <w:t xml:space="preserve">Demarcation criteria for family </w:t>
            </w:r>
            <w:r w:rsidRPr="00001448">
              <w:rPr>
                <w:rFonts w:ascii="Aptos" w:hAnsi="Aptos" w:cs="Arial"/>
                <w:i/>
                <w:sz w:val="20"/>
                <w:szCs w:val="20"/>
                <w:u w:val="single"/>
              </w:rPr>
              <w:t>Pleolipoviridae</w:t>
            </w:r>
            <w:r w:rsidR="002C5144">
              <w:rPr>
                <w:rFonts w:ascii="Aptos" w:hAnsi="Aptos" w:cs="Arial"/>
                <w:i/>
                <w:sz w:val="20"/>
                <w:szCs w:val="20"/>
                <w:u w:val="single"/>
              </w:rPr>
              <w:t xml:space="preserve"> </w:t>
            </w:r>
            <w:r w:rsidR="002C5144">
              <w:rPr>
                <w:rFonts w:ascii="Aptos" w:hAnsi="Aptos" w:cs="Arial"/>
                <w:iCs/>
                <w:sz w:val="20"/>
                <w:szCs w:val="20"/>
                <w:u w:val="single"/>
              </w:rPr>
              <w:t>(Liu et al., 2022)</w:t>
            </w:r>
            <w:r w:rsidRPr="00001448">
              <w:rPr>
                <w:rFonts w:ascii="Aptos" w:hAnsi="Aptos" w:cs="Arial"/>
                <w:iCs/>
                <w:sz w:val="20"/>
                <w:szCs w:val="20"/>
                <w:u w:val="single"/>
              </w:rPr>
              <w:t>:</w:t>
            </w:r>
          </w:p>
          <w:p w14:paraId="65276A99" w14:textId="260E6E86" w:rsidR="00001448" w:rsidRPr="00001448" w:rsidRDefault="00001448" w:rsidP="00001448">
            <w:p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Genera are identified by the gene content and well-supported monophyletic groups based on phylogenomic analysis of the whole genome sequences. The following criteria are used to differentiate genera in the family:</w:t>
            </w:r>
          </w:p>
          <w:p w14:paraId="3431509D" w14:textId="77777777" w:rsidR="00001448" w:rsidRPr="00001448" w:rsidRDefault="00001448" w:rsidP="00001448">
            <w:pPr>
              <w:numPr>
                <w:ilvl w:val="0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Genome type i.e. linear or circular</w:t>
            </w:r>
          </w:p>
          <w:p w14:paraId="62EE797D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Alphapleolipoviruses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either single-stranded or double-stranded circular DNA.</w:t>
            </w:r>
          </w:p>
          <w:p w14:paraId="71B7A42C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Betapleolipoviruses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circular double-stranded DNA genomes that can contain single-stranded discontinuities</w:t>
            </w:r>
          </w:p>
          <w:p w14:paraId="2D221E2D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314924">
              <w:rPr>
                <w:rFonts w:ascii="Aptos" w:hAnsi="Aptos" w:cs="Arial"/>
                <w:iCs/>
                <w:sz w:val="20"/>
                <w:szCs w:val="20"/>
              </w:rPr>
              <w:t>Gammapleolipoviruses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have linear double-stranded DNA genomes</w:t>
            </w:r>
          </w:p>
          <w:p w14:paraId="10EC774C" w14:textId="3438CF7C" w:rsidR="00001448" w:rsidRPr="00001448" w:rsidRDefault="00001448" w:rsidP="00001448">
            <w:pPr>
              <w:numPr>
                <w:ilvl w:val="0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Cs/>
                <w:sz w:val="20"/>
                <w:szCs w:val="20"/>
              </w:rPr>
              <w:t>Besides the conserved cluster of five genes shared by all pleolipoviruses (genes 3, 4 and 8; ORFs 6 and 7 of Halorubrum pleomorphic virus 1</w:t>
            </w:r>
            <w:r w:rsidR="00EA5E6D">
              <w:rPr>
                <w:rFonts w:ascii="Aptos" w:hAnsi="Aptos" w:cs="Arial"/>
                <w:iCs/>
                <w:sz w:val="20"/>
                <w:szCs w:val="20"/>
              </w:rPr>
              <w:t xml:space="preserve"> (HRPV-1)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>):</w:t>
            </w:r>
          </w:p>
          <w:p w14:paraId="5AA95502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Alphapleolipovirus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share an ORF coding for a rolling circle replication initiation proteins (RCR Rep).</w:t>
            </w:r>
          </w:p>
          <w:p w14:paraId="2D2F029F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Betapleolipovirus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share two ORFs coding for proteins of unknown function (e.g. Halorubrum pleomorphic virus 3 ORFs 6 and 9). One of those is predicted to contain a winged helix-turn-helix (wHTH) domain.</w:t>
            </w:r>
          </w:p>
          <w:p w14:paraId="7F845FE1" w14:textId="77777777" w:rsidR="00001448" w:rsidRPr="00001448" w:rsidRDefault="00001448" w:rsidP="00001448">
            <w:pPr>
              <w:numPr>
                <w:ilvl w:val="1"/>
                <w:numId w:val="5"/>
              </w:numPr>
              <w:rPr>
                <w:rFonts w:ascii="Aptos" w:hAnsi="Aptos" w:cs="Arial"/>
                <w:iCs/>
                <w:sz w:val="20"/>
                <w:szCs w:val="20"/>
              </w:rPr>
            </w:pPr>
            <w:r w:rsidRPr="00001448">
              <w:rPr>
                <w:rFonts w:ascii="Aptos" w:hAnsi="Aptos" w:cs="Arial"/>
                <w:i/>
                <w:sz w:val="20"/>
                <w:szCs w:val="20"/>
              </w:rPr>
              <w:t>Gammapleolipovirus</w:t>
            </w:r>
            <w:r w:rsidRPr="00001448">
              <w:rPr>
                <w:rFonts w:ascii="Aptos" w:hAnsi="Aptos" w:cs="Arial"/>
                <w:iCs/>
                <w:sz w:val="20"/>
                <w:szCs w:val="20"/>
              </w:rPr>
              <w:t xml:space="preserve"> genomes have a gene encoding a putative type B DNA polymerase</w:t>
            </w:r>
          </w:p>
          <w:p w14:paraId="1F25F8FD" w14:textId="77777777" w:rsidR="00FC2269" w:rsidRDefault="00FC2269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9E03199" w14:textId="3B92A1E5" w:rsidR="00D971FA" w:rsidRPr="00D971FA" w:rsidRDefault="00D971FA" w:rsidP="00DD58AA">
            <w:pPr>
              <w:rPr>
                <w:rFonts w:ascii="Aptos" w:hAnsi="Aptos" w:cs="Arial"/>
                <w:iCs/>
                <w:sz w:val="20"/>
                <w:szCs w:val="20"/>
                <w:u w:val="single"/>
              </w:rPr>
            </w:pPr>
            <w:r w:rsidRPr="00D971FA">
              <w:rPr>
                <w:rFonts w:ascii="Aptos" w:hAnsi="Aptos" w:cs="Arial"/>
                <w:iCs/>
                <w:sz w:val="20"/>
                <w:szCs w:val="20"/>
                <w:u w:val="single"/>
              </w:rPr>
              <w:t>Proposed demarcation criteria for the “</w:t>
            </w:r>
            <w:r w:rsidRPr="00D971FA">
              <w:rPr>
                <w:rFonts w:ascii="Aptos" w:hAnsi="Aptos" w:cs="Arial"/>
                <w:i/>
                <w:sz w:val="20"/>
                <w:szCs w:val="20"/>
                <w:u w:val="single"/>
              </w:rPr>
              <w:t>Nanopleoviridae</w:t>
            </w:r>
            <w:r w:rsidRPr="00D971FA">
              <w:rPr>
                <w:rFonts w:ascii="Aptos" w:hAnsi="Aptos" w:cs="Arial"/>
                <w:iCs/>
                <w:sz w:val="20"/>
                <w:szCs w:val="20"/>
                <w:u w:val="single"/>
              </w:rPr>
              <w:t>”:</w:t>
            </w:r>
          </w:p>
          <w:p w14:paraId="0B48054C" w14:textId="3E96D1CA" w:rsidR="00D971FA" w:rsidRDefault="00D971FA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>W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e propose using 95% sequence identity as a species demarcation criterion, to be consistent with the classification of other bacterial and archaeal </w:t>
            </w:r>
            <w:r>
              <w:rPr>
                <w:rFonts w:ascii="Aptos" w:hAnsi="Aptos" w:cs="Arial"/>
                <w:sz w:val="20"/>
                <w:szCs w:val="20"/>
              </w:rPr>
              <w:t xml:space="preserve">DNA </w:t>
            </w:r>
            <w:r w:rsidRPr="00B42E86">
              <w:rPr>
                <w:rFonts w:ascii="Aptos" w:hAnsi="Aptos" w:cs="Arial"/>
                <w:sz w:val="20"/>
                <w:szCs w:val="20"/>
              </w:rPr>
              <w:t>viruses</w:t>
            </w:r>
            <w:r>
              <w:rPr>
                <w:rFonts w:ascii="Aptos" w:hAnsi="Aptos" w:cs="Arial"/>
                <w:sz w:val="20"/>
                <w:szCs w:val="20"/>
              </w:rPr>
              <w:t>, including pleolipoviruses (Liu et al., 2022)</w:t>
            </w:r>
            <w:r w:rsidRPr="00B42E86">
              <w:rPr>
                <w:rFonts w:ascii="Aptos" w:hAnsi="Aptos" w:cs="Arial"/>
                <w:sz w:val="20"/>
                <w:szCs w:val="20"/>
              </w:rPr>
              <w:t>.</w:t>
            </w:r>
            <w:r>
              <w:rPr>
                <w:rFonts w:ascii="Aptos" w:hAnsi="Aptos" w:cs="Arial"/>
                <w:sz w:val="20"/>
                <w:szCs w:val="20"/>
              </w:rPr>
              <w:t xml:space="preserve"> Viruses will be assigned to different genera based on differences in the gene contents and if they form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 monophyletic groups </w:t>
            </w:r>
            <w:r>
              <w:rPr>
                <w:rFonts w:ascii="Aptos" w:hAnsi="Aptos" w:cs="Arial"/>
                <w:sz w:val="20"/>
                <w:szCs w:val="20"/>
              </w:rPr>
              <w:t>in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 phylogenomic analys</w:t>
            </w:r>
            <w:r>
              <w:rPr>
                <w:rFonts w:ascii="Aptos" w:hAnsi="Aptos" w:cs="Arial"/>
                <w:sz w:val="20"/>
                <w:szCs w:val="20"/>
              </w:rPr>
              <w:t>e</w:t>
            </w:r>
            <w:r w:rsidRPr="00B42E86">
              <w:rPr>
                <w:rFonts w:ascii="Aptos" w:hAnsi="Aptos" w:cs="Arial"/>
                <w:sz w:val="20"/>
                <w:szCs w:val="20"/>
              </w:rPr>
              <w:t xml:space="preserve">s of the whole genome </w:t>
            </w:r>
            <w:r>
              <w:rPr>
                <w:rFonts w:ascii="Aptos" w:hAnsi="Aptos" w:cs="Arial"/>
                <w:sz w:val="20"/>
                <w:szCs w:val="20"/>
              </w:rPr>
              <w:t>proteomes</w:t>
            </w:r>
            <w:r w:rsidRPr="00B42E86">
              <w:rPr>
                <w:rFonts w:ascii="Aptos" w:hAnsi="Aptos" w:cs="Arial"/>
                <w:sz w:val="20"/>
                <w:szCs w:val="20"/>
              </w:rPr>
              <w:t>.</w:t>
            </w:r>
          </w:p>
          <w:p w14:paraId="4AC78B06" w14:textId="77777777" w:rsidR="00D971FA" w:rsidRDefault="00D971FA" w:rsidP="00DD58AA">
            <w:pPr>
              <w:rPr>
                <w:rFonts w:ascii="Aptos" w:hAnsi="Aptos" w:cs="Arial"/>
                <w:i/>
                <w:sz w:val="20"/>
                <w:szCs w:val="20"/>
              </w:rPr>
            </w:pPr>
          </w:p>
          <w:p w14:paraId="404D8B91" w14:textId="2FB03C03" w:rsidR="00A77B8E" w:rsidRPr="00BE4F5A" w:rsidRDefault="00A77B8E" w:rsidP="00DD58AA">
            <w:pPr>
              <w:rPr>
                <w:rFonts w:ascii="Aptos" w:hAnsi="Aptos" w:cs="Arial"/>
                <w:sz w:val="20"/>
                <w:szCs w:val="20"/>
              </w:rPr>
            </w:pPr>
            <w:r w:rsidRPr="00BE4F5A">
              <w:rPr>
                <w:rFonts w:ascii="Aptos" w:hAnsi="Aptos" w:cs="Arial"/>
                <w:i/>
                <w:sz w:val="20"/>
                <w:szCs w:val="20"/>
              </w:rPr>
              <w:t>Justification</w:t>
            </w:r>
            <w:r w:rsidRPr="00BE4F5A">
              <w:rPr>
                <w:rFonts w:ascii="Aptos" w:hAnsi="Aptos" w:cs="Arial"/>
                <w:sz w:val="20"/>
                <w:szCs w:val="20"/>
              </w:rPr>
              <w:t xml:space="preserve">:      </w:t>
            </w:r>
          </w:p>
          <w:p w14:paraId="79F0111D" w14:textId="50540008" w:rsidR="00A77B8E" w:rsidRPr="00D971FA" w:rsidRDefault="00A43EA7" w:rsidP="00503392">
            <w:pPr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Geothermally influenced salt lakes in the Danakil Depression, Ethiopia, some of the most extreme ecosystems known, are dominated by microbial communities consisting of haloarchaea and nanohaloarchaea (Belilla et al., 2021; Gutiérrez-Preciado et al., 2024). Analysis of metagenomes from Lake Assale or Karum (samples Ass and 9Ass collected during different years), cave reservoir at the Dallol proto-volcano salt canyons (9Gt) and two of the Western-Canyon Lakes (WCL2 and WCL3) (Gutiérrez-Preciado et al., 2024) using geNomad (Camargo et al., 2024) and VirSorter2 (Guo et al., 2021) yielded 2,085 viral contigs (≥5 kb). Among these, </w:t>
            </w:r>
            <w:r>
              <w:rPr>
                <w:rFonts w:ascii="Aptos" w:hAnsi="Aptos" w:cs="Arial"/>
                <w:sz w:val="20"/>
                <w:szCs w:val="20"/>
              </w:rPr>
              <w:t>two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complete virus genomes (circular contigs, i.e., with direct terminal redundancies) could be assigned to haloarchaeal and nanohaloarchaeal hosts, respectively, based on specific CRISPR spacer-protospacer matches </w:t>
            </w:r>
            <w:r>
              <w:rPr>
                <w:rFonts w:ascii="Aptos" w:hAnsi="Aptos" w:cs="Arial"/>
                <w:sz w:val="20"/>
                <w:szCs w:val="20"/>
              </w:rPr>
              <w:t>(Zhou et al., 2025)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. Based on the presence of signature genes involved in virion morphogenesis, these viruses could be assigned to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>
              <w:rPr>
                <w:rFonts w:ascii="Aptos" w:hAnsi="Aptos" w:cs="Arial"/>
                <w:sz w:val="20"/>
                <w:szCs w:val="20"/>
              </w:rPr>
              <w:t>, an order of DNA viruses with enveloped pleomorphic virions composed of two major structural proteins, a membrane fusion/spike protein (homologous to HRPV</w:t>
            </w:r>
            <w:r w:rsidR="00EA5E6D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 VP4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, gene </w:t>
            </w:r>
            <w:r w:rsidR="00EA5E6D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4</w:t>
            </w:r>
            <w:r>
              <w:rPr>
                <w:rFonts w:ascii="Aptos" w:hAnsi="Aptos" w:cs="Arial"/>
                <w:sz w:val="20"/>
                <w:szCs w:val="20"/>
              </w:rPr>
              <w:t>) and a membrane-embedded matrix protein (homologous to HRPV</w:t>
            </w:r>
            <w:r w:rsidR="00EA5E6D">
              <w:rPr>
                <w:rFonts w:ascii="Aptos" w:hAnsi="Aptos" w:cs="Arial"/>
                <w:sz w:val="20"/>
                <w:szCs w:val="20"/>
              </w:rPr>
              <w:t>-</w:t>
            </w:r>
            <w:r>
              <w:rPr>
                <w:rFonts w:ascii="Aptos" w:hAnsi="Aptos" w:cs="Arial"/>
                <w:sz w:val="20"/>
                <w:szCs w:val="20"/>
              </w:rPr>
              <w:t>1 VP3</w:t>
            </w:r>
            <w:r w:rsidR="00EA5E6D">
              <w:rPr>
                <w:rFonts w:ascii="Aptos" w:hAnsi="Aptos" w:cs="Arial"/>
                <w:sz w:val="20"/>
                <w:szCs w:val="20"/>
              </w:rPr>
              <w:t xml:space="preserve">, gene </w:t>
            </w:r>
            <w:r w:rsidR="00EA5E6D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ptos" w:hAnsi="Aptos" w:cs="Arial"/>
                <w:sz w:val="20"/>
                <w:szCs w:val="20"/>
              </w:rPr>
              <w:t>)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(Figure 1)</w:t>
            </w:r>
            <w:r>
              <w:rPr>
                <w:rFonts w:ascii="Aptos" w:hAnsi="Aptos" w:cs="Arial"/>
                <w:sz w:val="20"/>
                <w:szCs w:val="20"/>
              </w:rPr>
              <w:t>. Here</w:t>
            </w:r>
            <w:r w:rsidRPr="00F2057B">
              <w:rPr>
                <w:rFonts w:ascii="Aptos" w:hAnsi="Aptos" w:cs="Arial"/>
                <w:sz w:val="20"/>
                <w:szCs w:val="20"/>
              </w:rPr>
              <w:t>, we propose classif</w:t>
            </w:r>
            <w:r>
              <w:rPr>
                <w:rFonts w:ascii="Aptos" w:hAnsi="Aptos" w:cs="Arial"/>
                <w:sz w:val="20"/>
                <w:szCs w:val="20"/>
              </w:rPr>
              <w:t xml:space="preserve">ying </w:t>
            </w:r>
            <w:r w:rsidR="00503392" w:rsidRPr="00503392">
              <w:rPr>
                <w:rFonts w:ascii="Aptos" w:hAnsi="Aptos" w:cs="Arial"/>
                <w:sz w:val="20"/>
                <w:szCs w:val="20"/>
              </w:rPr>
              <w:t>Danakil Halobacteriales pleomorphic virus 1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 (DHPV1) into a new species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, </w:t>
            </w:r>
            <w:r w:rsidR="0007748F" w:rsidRPr="0007748F">
              <w:rPr>
                <w:rFonts w:ascii="Aptos" w:hAnsi="Aptos" w:cs="Arial"/>
                <w:sz w:val="20"/>
                <w:szCs w:val="20"/>
              </w:rPr>
              <w:t>“</w:t>
            </w:r>
            <w:r w:rsidR="0007748F" w:rsidRPr="0007748F">
              <w:rPr>
                <w:rFonts w:ascii="Aptos" w:hAnsi="Aptos" w:cs="Arial"/>
                <w:i/>
                <w:iCs/>
                <w:sz w:val="20"/>
                <w:szCs w:val="20"/>
              </w:rPr>
              <w:t>Betapleolipovirus danakilense</w:t>
            </w:r>
            <w:r w:rsidR="0007748F" w:rsidRPr="0007748F">
              <w:rPr>
                <w:rFonts w:ascii="Aptos" w:hAnsi="Aptos" w:cs="Arial"/>
                <w:sz w:val="20"/>
                <w:szCs w:val="20"/>
              </w:rPr>
              <w:t>”</w:t>
            </w:r>
            <w:r w:rsidR="0007748F">
              <w:rPr>
                <w:rFonts w:ascii="Aptos" w:hAnsi="Aptos" w:cs="Arial"/>
                <w:sz w:val="20"/>
                <w:szCs w:val="20"/>
              </w:rPr>
              <w:t>,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 within genus </w:t>
            </w:r>
            <w:r w:rsidR="00503392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Betapleovirus 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(family </w:t>
            </w:r>
            <w:r w:rsidR="00503392" w:rsidRPr="00503392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503392">
              <w:rPr>
                <w:rFonts w:ascii="Aptos" w:hAnsi="Aptos" w:cs="Arial"/>
                <w:sz w:val="20"/>
                <w:szCs w:val="20"/>
              </w:rPr>
              <w:t xml:space="preserve">) and </w:t>
            </w:r>
            <w:r w:rsidR="00503392" w:rsidRPr="00503392">
              <w:rPr>
                <w:rFonts w:ascii="Aptos" w:hAnsi="Aptos" w:cs="Arial"/>
                <w:sz w:val="20"/>
                <w:szCs w:val="20"/>
              </w:rPr>
              <w:t>Danakil Nanohaloarchaeota pleomorphic virus 1</w:t>
            </w:r>
            <w:r w:rsidRPr="00F2057B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503392">
              <w:rPr>
                <w:rFonts w:ascii="Aptos" w:hAnsi="Aptos" w:cs="Arial"/>
                <w:sz w:val="20"/>
                <w:szCs w:val="20"/>
              </w:rPr>
              <w:t>(DNPV1) into a new family, “</w:t>
            </w:r>
            <w:r w:rsidR="00503392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503392" w:rsidRPr="00D971FA">
              <w:rPr>
                <w:rFonts w:ascii="Aptos" w:hAnsi="Aptos" w:cs="Arial"/>
                <w:sz w:val="20"/>
                <w:szCs w:val="20"/>
              </w:rPr>
              <w:t xml:space="preserve">” within the order </w:t>
            </w:r>
            <w:r w:rsidR="00503392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 w:rsidRPr="00D971F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Pr="00D971FA">
              <w:rPr>
                <w:rFonts w:ascii="Aptos" w:hAnsi="Aptos" w:cs="Arial"/>
                <w:sz w:val="20"/>
                <w:szCs w:val="20"/>
              </w:rPr>
              <w:t>(Table 1).</w:t>
            </w:r>
            <w:r w:rsidR="00A77B8E" w:rsidRPr="00D971FA">
              <w:rPr>
                <w:rFonts w:ascii="Aptos" w:hAnsi="Aptos" w:cs="Arial"/>
                <w:sz w:val="20"/>
                <w:szCs w:val="20"/>
              </w:rPr>
              <w:t xml:space="preserve">  </w:t>
            </w:r>
          </w:p>
          <w:p w14:paraId="5DF5DC88" w14:textId="77777777" w:rsidR="008C5949" w:rsidRPr="00D971FA" w:rsidRDefault="008C5949" w:rsidP="00503392">
            <w:pPr>
              <w:rPr>
                <w:rFonts w:ascii="Aptos" w:hAnsi="Aptos" w:cs="Arial"/>
                <w:sz w:val="20"/>
                <w:szCs w:val="20"/>
              </w:rPr>
            </w:pPr>
          </w:p>
          <w:p w14:paraId="35E3136A" w14:textId="32845BC6" w:rsidR="004823AB" w:rsidRPr="007F0190" w:rsidRDefault="004823AB" w:rsidP="00DD58AA">
            <w:pPr>
              <w:rPr>
                <w:rFonts w:ascii="Aptos" w:hAnsi="Aptos" w:cs="Arial"/>
                <w:sz w:val="20"/>
                <w:szCs w:val="20"/>
              </w:rPr>
            </w:pPr>
            <w:r>
              <w:rPr>
                <w:rFonts w:ascii="Aptos" w:hAnsi="Aptos" w:cs="Arial"/>
                <w:sz w:val="20"/>
                <w:szCs w:val="20"/>
              </w:rPr>
              <w:t xml:space="preserve">To assess the relationship between DHPV1 and DNPV1 with other members of the kingdom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>, we performed p</w:t>
            </w:r>
            <w:r w:rsidR="00D971FA" w:rsidRPr="00D971FA">
              <w:rPr>
                <w:rFonts w:ascii="Aptos" w:hAnsi="Aptos" w:cs="Arial"/>
                <w:sz w:val="20"/>
                <w:szCs w:val="20"/>
              </w:rPr>
              <w:t xml:space="preserve">hylogenomic analysis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using the VICTOR, </w:t>
            </w:r>
            <w:r>
              <w:rPr>
                <w:rFonts w:ascii="Aptos" w:hAnsi="Aptos" w:cs="Arial"/>
                <w:sz w:val="20"/>
                <w:szCs w:val="20"/>
              </w:rPr>
              <w:t xml:space="preserve">a tool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previously applied for </w:t>
            </w:r>
            <w:r>
              <w:rPr>
                <w:rFonts w:ascii="Aptos" w:hAnsi="Aptos" w:cs="Arial"/>
                <w:sz w:val="20"/>
                <w:szCs w:val="20"/>
              </w:rPr>
              <w:t>analyzing the relationships between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 xml:space="preserve">virus groups within kingdom </w:t>
            </w:r>
            <w:r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Trapavirae</w:t>
            </w:r>
            <w:r>
              <w:rPr>
                <w:rFonts w:ascii="Aptos" w:hAnsi="Aptos" w:cs="Arial"/>
                <w:sz w:val="20"/>
                <w:szCs w:val="20"/>
              </w:rPr>
              <w:t xml:space="preserve"> and for delineation of 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genera within </w:t>
            </w:r>
            <w:r w:rsidR="00D971FA" w:rsidRPr="00D971FA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(Liu et al., 2022)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  <w:r w:rsidR="00434619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This analysis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confirmed the monophyly of the previously established families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7F0190">
              <w:rPr>
                <w:rFonts w:ascii="Aptos" w:hAnsi="Aptos" w:cs="Arial"/>
                <w:sz w:val="20"/>
                <w:szCs w:val="20"/>
              </w:rPr>
              <w:t>(Liu et al., 2022)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7F0190" w:rsidRPr="004823AB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(Baquero et </w:t>
            </w:r>
            <w:r w:rsidR="007F0190">
              <w:rPr>
                <w:rFonts w:ascii="Aptos" w:hAnsi="Aptos" w:cs="Arial"/>
                <w:sz w:val="20"/>
                <w:szCs w:val="20"/>
              </w:rPr>
              <w:lastRenderedPageBreak/>
              <w:t xml:space="preserve">al., 2024) and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showed that DHPV1 was nested within a clade corresponding to the </w:t>
            </w:r>
            <w:r w:rsidR="00E41927" w:rsidRPr="00E41927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genus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E41927" w:rsidRPr="00E41927">
              <w:rPr>
                <w:rFonts w:ascii="Aptos" w:hAnsi="Aptos" w:cs="Arial"/>
                <w:sz w:val="20"/>
                <w:szCs w:val="20"/>
              </w:rPr>
              <w:t>, whereas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DNPV1 and 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a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related provirus 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(Atlit Nanohaloarchaeota pleomorphic virus 1, </w:t>
            </w:r>
            <w:r w:rsidR="00E41927">
              <w:rPr>
                <w:rFonts w:ascii="Aptos" w:hAnsi="Aptos" w:cs="Arial"/>
                <w:sz w:val="20"/>
                <w:szCs w:val="20"/>
              </w:rPr>
              <w:t>ANPV1</w:t>
            </w:r>
            <w:r w:rsidR="0007748F">
              <w:rPr>
                <w:rFonts w:ascii="Aptos" w:hAnsi="Aptos" w:cs="Arial"/>
                <w:sz w:val="20"/>
                <w:szCs w:val="20"/>
              </w:rPr>
              <w:t xml:space="preserve">; Zhou et al., 2025)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formed a separate group outside of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(Figure 2). Notably, unlike all classified viruses in the genus </w:t>
            </w:r>
            <w:r w:rsidR="00E41927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, DHPV1 does not encode a signature protein suspected </w:t>
            </w:r>
            <w:r w:rsidR="007A5746">
              <w:rPr>
                <w:rFonts w:ascii="Aptos" w:hAnsi="Aptos" w:cs="Arial"/>
                <w:sz w:val="20"/>
                <w:szCs w:val="20"/>
              </w:rPr>
              <w:t>of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be</w:t>
            </w:r>
            <w:r w:rsidR="007A5746">
              <w:rPr>
                <w:rFonts w:ascii="Aptos" w:hAnsi="Aptos" w:cs="Arial"/>
                <w:sz w:val="20"/>
                <w:szCs w:val="20"/>
              </w:rPr>
              <w:t>ing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involved in genome replication. Instead, the virus encodes a rolling circle replication initiation endonuclease (Rep). Although rolling circle Reps are typical of members of the genus </w:t>
            </w:r>
            <w:r w:rsidR="00E41927" w:rsidRPr="00E41927">
              <w:rPr>
                <w:rFonts w:ascii="Aptos" w:hAnsi="Aptos" w:cs="Arial"/>
                <w:i/>
                <w:iCs/>
                <w:sz w:val="20"/>
                <w:szCs w:val="20"/>
              </w:rPr>
              <w:t>Alphapleolipovirus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, the Rep of DHPV1 is not recognizably similar to any of these proteins. Instead, BlastP analysis showed that DHPV1 Rep is 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related to homologs encoded by simulovirids </w:t>
            </w:r>
            <w:r w:rsidR="00E41927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A5746" w:rsidRPr="007A5746">
              <w:rPr>
                <w:rFonts w:ascii="Aptos" w:hAnsi="Aptos" w:cs="Arial"/>
                <w:sz w:val="20"/>
                <w:szCs w:val="20"/>
              </w:rPr>
              <w:t>Haloterrigena jeotgali icosahedral virus 1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 and SNJ1 (30% sequence identity to both). In this respect, DHPV1 resembles </w:t>
            </w:r>
            <w:r w:rsidR="007A5746" w:rsidRPr="007A5746">
              <w:rPr>
                <w:rFonts w:ascii="Aptos" w:hAnsi="Aptos" w:cs="Arial"/>
                <w:sz w:val="20"/>
                <w:szCs w:val="20"/>
              </w:rPr>
              <w:t xml:space="preserve">Haloferax volcanii pleomorphic virus 1 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(HVPV-1), an unclassified pleolipovirid which is nested within the genus </w:t>
            </w:r>
            <w:r w:rsidR="007A5746">
              <w:rPr>
                <w:rFonts w:ascii="Aptos" w:hAnsi="Aptos" w:cs="Arial"/>
                <w:i/>
                <w:iCs/>
                <w:sz w:val="20"/>
                <w:szCs w:val="20"/>
              </w:rPr>
              <w:t>Betapleolipovirus</w:t>
            </w:r>
            <w:r w:rsidR="007A5746">
              <w:rPr>
                <w:rFonts w:ascii="Aptos" w:hAnsi="Aptos" w:cs="Arial"/>
                <w:sz w:val="20"/>
                <w:szCs w:val="20"/>
              </w:rPr>
              <w:t xml:space="preserve"> but lacks the signature gene typical of viruses in this genus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(</w:t>
            </w:r>
            <w:r w:rsidR="007F0190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et al., 2022)</w:t>
            </w:r>
            <w:r w:rsidR="007A5746">
              <w:rPr>
                <w:rFonts w:ascii="Aptos" w:hAnsi="Aptos" w:cs="Arial"/>
                <w:sz w:val="20"/>
                <w:szCs w:val="20"/>
              </w:rPr>
              <w:t>. Notably, however, HVPV-1 also lacks the gene for the rolling-circle Rep.</w:t>
            </w:r>
            <w:r w:rsidR="008C465F">
              <w:rPr>
                <w:rFonts w:ascii="Aptos" w:hAnsi="Aptos" w:cs="Arial"/>
                <w:sz w:val="20"/>
                <w:szCs w:val="20"/>
              </w:rPr>
              <w:t xml:space="preserve"> Thus, </w:t>
            </w:r>
            <w:r w:rsidR="007F0190">
              <w:rPr>
                <w:rFonts w:ascii="Aptos" w:hAnsi="Aptos" w:cs="Arial"/>
                <w:sz w:val="20"/>
                <w:szCs w:val="20"/>
              </w:rPr>
              <w:t>consideration of the replication protein gene as a demarcation criterion might prove to be impractical and at odds with the phylogenomic analysis. Alternatively, with the expanding diversity of pleolipovirids discovered through metagenomics (</w:t>
            </w:r>
            <w:r w:rsidR="007F0190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 et al., 2023),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Betapleolipovirus </w:t>
            </w:r>
            <w:r w:rsidR="007F0190">
              <w:rPr>
                <w:rFonts w:ascii="Aptos" w:hAnsi="Aptos" w:cs="Arial"/>
                <w:sz w:val="20"/>
                <w:szCs w:val="20"/>
              </w:rPr>
              <w:t xml:space="preserve">genus in particular and </w:t>
            </w:r>
            <w:r w:rsidR="007F0190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 w:rsidR="007F0190">
              <w:rPr>
                <w:rFonts w:ascii="Aptos" w:hAnsi="Aptos" w:cs="Arial"/>
                <w:sz w:val="20"/>
                <w:szCs w:val="20"/>
              </w:rPr>
              <w:t>family, in general, might need revision.</w:t>
            </w:r>
          </w:p>
          <w:p w14:paraId="5778F963" w14:textId="77777777" w:rsidR="004823AB" w:rsidRDefault="004823AB" w:rsidP="00DD58AA">
            <w:pPr>
              <w:rPr>
                <w:rFonts w:ascii="Aptos" w:hAnsi="Aptos" w:cs="Arial"/>
                <w:sz w:val="20"/>
                <w:szCs w:val="20"/>
              </w:rPr>
            </w:pPr>
          </w:p>
          <w:p w14:paraId="6439F55D" w14:textId="1C70E816" w:rsidR="00A77B8E" w:rsidRDefault="007F0190" w:rsidP="00A328B4">
            <w:pPr>
              <w:rPr>
                <w:rFonts w:ascii="Aptos" w:hAnsi="Aptos" w:cs="Arial"/>
                <w:color w:val="0000FF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 xml:space="preserve">As </w:t>
            </w:r>
            <w:r>
              <w:rPr>
                <w:rFonts w:ascii="Aptos" w:hAnsi="Aptos" w:cs="Arial"/>
                <w:sz w:val="20"/>
                <w:szCs w:val="20"/>
              </w:rPr>
              <w:t xml:space="preserve">noted above,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DNPV1 </w:t>
            </w:r>
            <w:r>
              <w:rPr>
                <w:rFonts w:ascii="Aptos" w:hAnsi="Aptos" w:cs="Arial"/>
                <w:sz w:val="20"/>
                <w:szCs w:val="20"/>
              </w:rPr>
              <w:t xml:space="preserve">and related provirus ANPV1 formed a separate group outside of </w:t>
            </w:r>
            <w:r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Pleolipoviridae </w:t>
            </w:r>
            <w:r>
              <w:rPr>
                <w:rFonts w:ascii="Aptos" w:hAnsi="Aptos" w:cs="Arial"/>
                <w:sz w:val="20"/>
                <w:szCs w:val="20"/>
              </w:rPr>
              <w:t xml:space="preserve">and all other clades of related viruses, including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viruses of the family </w:t>
            </w:r>
            <w:r w:rsidRPr="007F0190">
              <w:rPr>
                <w:rFonts w:ascii="Aptos" w:hAnsi="Aptos" w:cs="Arial"/>
                <w:i/>
                <w:iCs/>
                <w:sz w:val="20"/>
                <w:szCs w:val="20"/>
              </w:rPr>
              <w:t>Thalassapleoviridae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infecting hyperthermophilic archaea of the class Archaeoglobi </w:t>
            </w:r>
            <w:r w:rsidRPr="007F0190">
              <w:rPr>
                <w:rFonts w:ascii="Aptos" w:hAnsi="Aptos" w:cs="Arial"/>
                <w:sz w:val="20"/>
                <w:szCs w:val="20"/>
              </w:rPr>
              <w:t>(Baquero et al., 2024)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as well as as of yet unclassified pleomorphic viruses associated with methanogenic archaea of the </w:t>
            </w:r>
            <w:r w:rsidR="007E3C6A" w:rsidRPr="007E3C6A">
              <w:rPr>
                <w:rFonts w:ascii="Aptos" w:hAnsi="Aptos" w:cs="Arial"/>
                <w:sz w:val="20"/>
                <w:szCs w:val="20"/>
              </w:rPr>
              <w:t>Mathanomassiliicoccales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and </w:t>
            </w:r>
            <w:r w:rsidR="007E3C6A" w:rsidRPr="007E3C6A">
              <w:rPr>
                <w:rFonts w:ascii="Aptos" w:hAnsi="Aptos" w:cs="Arial"/>
                <w:sz w:val="20"/>
                <w:szCs w:val="20"/>
              </w:rPr>
              <w:t xml:space="preserve">Mathanonatronarchaea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(Medvedeva et al., 2023; </w:t>
            </w:r>
            <w:r>
              <w:rPr>
                <w:rFonts w:ascii="Aptos" w:hAnsi="Aptos" w:cs="Arial"/>
                <w:sz w:val="20"/>
                <w:szCs w:val="20"/>
              </w:rPr>
              <w:t>Figure 2)</w:t>
            </w:r>
            <w:r w:rsidR="004823AB" w:rsidRPr="007F0190">
              <w:rPr>
                <w:rFonts w:ascii="Aptos" w:hAnsi="Aptos" w:cs="Arial"/>
                <w:sz w:val="20"/>
                <w:szCs w:val="20"/>
              </w:rPr>
              <w:t>.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 w:rsidRPr="007F0190">
              <w:rPr>
                <w:rFonts w:ascii="Aptos" w:hAnsi="Aptos" w:cs="Arial"/>
                <w:sz w:val="20"/>
                <w:szCs w:val="20"/>
              </w:rPr>
              <w:t xml:space="preserve">DNPV1 </w:t>
            </w:r>
            <w:r w:rsidR="007E3C6A">
              <w:rPr>
                <w:rFonts w:ascii="Aptos" w:hAnsi="Aptos" w:cs="Arial"/>
                <w:sz w:val="20"/>
                <w:szCs w:val="20"/>
              </w:rPr>
              <w:t>and ANPV1</w:t>
            </w:r>
            <w:r w:rsidR="00D971FA"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represent the first pleomorphic viruses associated with ultra-small symbiotic archaea of the phylum </w:t>
            </w:r>
            <w:r w:rsidR="007E3C6A" w:rsidRPr="0078157B">
              <w:rPr>
                <w:rFonts w:ascii="Aptos" w:hAnsi="Aptos" w:cs="Arial"/>
                <w:sz w:val="20"/>
                <w:szCs w:val="20"/>
              </w:rPr>
              <w:t>Nano</w:t>
            </w:r>
            <w:r w:rsidR="00B214DD" w:rsidRPr="0078157B">
              <w:rPr>
                <w:rFonts w:ascii="Aptos" w:eastAsia="DengXian" w:hAnsi="Aptos" w:cs="Arial"/>
                <w:sz w:val="20"/>
                <w:szCs w:val="20"/>
                <w:lang w:eastAsia="zh-CN"/>
              </w:rPr>
              <w:t>halo</w:t>
            </w:r>
            <w:r w:rsidR="007E3C6A" w:rsidRPr="0078157B">
              <w:rPr>
                <w:rFonts w:ascii="Aptos" w:hAnsi="Aptos" w:cs="Arial"/>
                <w:sz w:val="20"/>
                <w:szCs w:val="20"/>
              </w:rPr>
              <w:t>archaeota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 (Zhou et al., 2025). Separation of pleomorphic viruses in phylogenomic analyses according to their host phylogeny suggests deep divergence of the corresponding viruses from their common ancestor and co-evolution with their respective hosts. We propose classifying DNPV1 into a separate family, “</w:t>
            </w:r>
            <w:r w:rsidR="007E3C6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”, and to place this family into order </w:t>
            </w:r>
            <w:r w:rsidR="007E3C6A" w:rsidRPr="006A5FFA">
              <w:rPr>
                <w:rFonts w:ascii="Aptos" w:hAnsi="Aptos" w:cs="Arial"/>
                <w:i/>
                <w:iCs/>
                <w:sz w:val="20"/>
                <w:szCs w:val="20"/>
              </w:rPr>
              <w:t>Haloruvirales</w:t>
            </w:r>
            <w:r w:rsidR="007E3C6A">
              <w:rPr>
                <w:rFonts w:ascii="Aptos" w:hAnsi="Aptos" w:cs="Arial"/>
                <w:sz w:val="20"/>
                <w:szCs w:val="20"/>
              </w:rPr>
              <w:t xml:space="preserve">, which currently includes </w:t>
            </w:r>
            <w:r w:rsidR="007E3C6A">
              <w:rPr>
                <w:rFonts w:ascii="Aptos" w:hAnsi="Aptos" w:cs="Arial"/>
                <w:i/>
                <w:iCs/>
                <w:sz w:val="20"/>
                <w:szCs w:val="20"/>
              </w:rPr>
              <w:t>Pleolipoviridae.</w:t>
            </w:r>
            <w:r w:rsidR="0008796A">
              <w:rPr>
                <w:rFonts w:ascii="Aptos" w:hAnsi="Aptos" w:cs="Arial"/>
                <w:i/>
                <w:iCs/>
                <w:sz w:val="20"/>
                <w:szCs w:val="20"/>
              </w:rPr>
              <w:t xml:space="preserve"> </w:t>
            </w:r>
            <w:r w:rsidR="0008796A">
              <w:rPr>
                <w:rFonts w:ascii="Aptos" w:hAnsi="Aptos" w:cs="Arial"/>
                <w:sz w:val="20"/>
                <w:szCs w:val="20"/>
              </w:rPr>
              <w:t>We note, however, that g</w:t>
            </w:r>
            <w:r w:rsidR="0008796A" w:rsidRPr="0008796A">
              <w:rPr>
                <w:rFonts w:ascii="Aptos" w:hAnsi="Aptos" w:cs="Arial"/>
                <w:sz w:val="20"/>
                <w:szCs w:val="20"/>
              </w:rPr>
              <w:t>iven the vast diversity of haloarchaeal pleolipoviruses, most of which are unclassified (</w:t>
            </w:r>
            <w:r w:rsidR="0008796A" w:rsidRPr="007F0190">
              <w:rPr>
                <w:rFonts w:ascii="Aptos" w:hAnsi="Aptos" w:cs="Arial"/>
                <w:sz w:val="20"/>
                <w:szCs w:val="20"/>
              </w:rPr>
              <w:t>Alarcón-Schumacher</w:t>
            </w:r>
            <w:r w:rsidR="0008796A">
              <w:rPr>
                <w:rFonts w:ascii="Aptos" w:hAnsi="Aptos" w:cs="Arial"/>
                <w:sz w:val="20"/>
                <w:szCs w:val="20"/>
              </w:rPr>
              <w:t xml:space="preserve"> et al., 2023</w:t>
            </w:r>
            <w:r w:rsidR="0008796A" w:rsidRPr="0008796A">
              <w:rPr>
                <w:rFonts w:ascii="Aptos" w:hAnsi="Aptos" w:cs="Arial"/>
                <w:sz w:val="20"/>
                <w:szCs w:val="20"/>
              </w:rPr>
              <w:t>), it is expected that the family will be elevated to an order level</w:t>
            </w:r>
            <w:r w:rsidR="0008796A">
              <w:rPr>
                <w:rFonts w:ascii="Aptos" w:hAnsi="Aptos" w:cs="Arial"/>
                <w:sz w:val="20"/>
                <w:szCs w:val="20"/>
              </w:rPr>
              <w:t>. In such case, “</w:t>
            </w:r>
            <w:r w:rsidR="0008796A">
              <w:rPr>
                <w:rFonts w:ascii="Aptos" w:hAnsi="Aptos" w:cs="Arial"/>
                <w:i/>
                <w:iCs/>
                <w:sz w:val="20"/>
                <w:szCs w:val="20"/>
              </w:rPr>
              <w:t>Nanopleoviridae</w:t>
            </w:r>
            <w:r w:rsidR="0008796A">
              <w:rPr>
                <w:rFonts w:ascii="Aptos" w:hAnsi="Aptos" w:cs="Arial"/>
                <w:sz w:val="20"/>
                <w:szCs w:val="20"/>
              </w:rPr>
              <w:t>” would have to</w:t>
            </w:r>
            <w:r w:rsidR="00A328B4">
              <w:rPr>
                <w:rFonts w:ascii="Aptos" w:hAnsi="Aptos" w:cs="Arial"/>
                <w:sz w:val="20"/>
                <w:szCs w:val="20"/>
              </w:rPr>
              <w:t xml:space="preserve"> be</w:t>
            </w:r>
            <w:r w:rsidR="0008796A">
              <w:rPr>
                <w:rFonts w:ascii="Aptos" w:hAnsi="Aptos" w:cs="Arial"/>
                <w:sz w:val="20"/>
                <w:szCs w:val="20"/>
              </w:rPr>
              <w:t xml:space="preserve"> moved to a separate order.</w:t>
            </w:r>
          </w:p>
        </w:tc>
      </w:tr>
    </w:tbl>
    <w:tbl>
      <w:tblPr>
        <w:tblStyle w:val="TableGrid"/>
        <w:tblpPr w:leftFromText="180" w:rightFromText="180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8926"/>
      </w:tblGrid>
      <w:tr w:rsidR="00E37077" w:rsidRPr="00BE4F5A" w14:paraId="521F1A3A" w14:textId="77777777" w:rsidTr="00683D0C">
        <w:tc>
          <w:tcPr>
            <w:tcW w:w="8926" w:type="dxa"/>
            <w:shd w:val="clear" w:color="auto" w:fill="F2F2F2" w:themeFill="background1" w:themeFillShade="F2"/>
          </w:tcPr>
          <w:p w14:paraId="012DB901" w14:textId="139E0D44" w:rsidR="00E37077" w:rsidRPr="00E37077" w:rsidRDefault="00E37077" w:rsidP="00DD58AA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E37077">
              <w:rPr>
                <w:rFonts w:ascii="Aptos" w:hAnsi="Aptos" w:cs="Arial"/>
                <w:b/>
                <w:sz w:val="20"/>
                <w:szCs w:val="20"/>
              </w:rPr>
              <w:lastRenderedPageBreak/>
              <w:t>References</w:t>
            </w:r>
            <w:r w:rsidR="006C0F51">
              <w:rPr>
                <w:rFonts w:ascii="Aptos" w:hAnsi="Aptos" w:cs="Arial"/>
                <w:b/>
                <w:sz w:val="20"/>
                <w:szCs w:val="20"/>
              </w:rPr>
              <w:t>:</w:t>
            </w:r>
            <w:r w:rsidRPr="00E37077">
              <w:rPr>
                <w:rFonts w:ascii="Aptos" w:hAnsi="Aptos" w:cs="Arial"/>
                <w:b/>
                <w:sz w:val="20"/>
                <w:szCs w:val="20"/>
              </w:rPr>
              <w:t xml:space="preserve">   </w:t>
            </w:r>
          </w:p>
        </w:tc>
      </w:tr>
      <w:tr w:rsidR="00953FFE" w:rsidRPr="00BE4F5A" w14:paraId="142CD23F" w14:textId="77777777" w:rsidTr="00852D43">
        <w:tc>
          <w:tcPr>
            <w:tcW w:w="8926" w:type="dxa"/>
          </w:tcPr>
          <w:p w14:paraId="03C6FB67" w14:textId="77777777" w:rsidR="007F0190" w:rsidRDefault="007F0190" w:rsidP="007F0190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>Alarcón-Schumacher T, Lücking D, Erdmann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Revisiting evolutionary trajectories and the organization of the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family.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PLoS Genet. 2023;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19(10):e1010998. doi: 10.1371/journal.pgen.1010998. PMID: 37831715</w:t>
            </w:r>
          </w:p>
          <w:p w14:paraId="4662366D" w14:textId="510F92A9" w:rsidR="007F0190" w:rsidRDefault="007F0190" w:rsidP="007F0190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F0190">
              <w:rPr>
                <w:rFonts w:ascii="Aptos" w:hAnsi="Aptos" w:cs="Arial"/>
                <w:sz w:val="20"/>
                <w:szCs w:val="20"/>
              </w:rPr>
              <w:t>Alarcón-Schumacher T, Naor A, Gophna U, Erdmann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Isolation of a virus causing a chronic infection in the archaeal model organism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Haloferax volcanii</w:t>
            </w:r>
            <w:r w:rsidRPr="007F0190">
              <w:rPr>
                <w:rFonts w:ascii="Aptos" w:hAnsi="Aptos" w:cs="Arial"/>
                <w:sz w:val="20"/>
                <w:szCs w:val="20"/>
              </w:rPr>
              <w:t xml:space="preserve"> reveals antiviral activities of a provirus.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Proc Natl Acad Sci U S A. 2022;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F0190">
              <w:rPr>
                <w:rFonts w:ascii="Aptos" w:hAnsi="Aptos" w:cs="Arial"/>
                <w:sz w:val="20"/>
                <w:szCs w:val="20"/>
              </w:rPr>
              <w:t>119(35):e2205037119. doi: 10.1073/pnas.2205037119. PMID: 35994644</w:t>
            </w:r>
          </w:p>
          <w:p w14:paraId="206003A1" w14:textId="581C07C0" w:rsidR="004823AB" w:rsidRDefault="004823AB" w:rsidP="004823AB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4823AB">
              <w:rPr>
                <w:rFonts w:ascii="Aptos" w:hAnsi="Aptos" w:cs="Arial"/>
                <w:sz w:val="20"/>
                <w:szCs w:val="20"/>
              </w:rPr>
              <w:t>Baquero DP, Bignon EA, Krupovic M. Pleomorphic viruses establish stable relationship with marine hyperthermophilic archaea.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823AB">
              <w:rPr>
                <w:rFonts w:ascii="Aptos" w:hAnsi="Aptos" w:cs="Arial"/>
                <w:sz w:val="20"/>
                <w:szCs w:val="20"/>
              </w:rPr>
              <w:t>ISME J. 2024 Jan 8;18(1):wrae008. doi: 10.1093/ismejo/wrae008.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4823AB">
              <w:rPr>
                <w:rFonts w:ascii="Aptos" w:hAnsi="Aptos" w:cs="Arial"/>
                <w:sz w:val="20"/>
                <w:szCs w:val="20"/>
              </w:rPr>
              <w:t>PMID: 38366050</w:t>
            </w:r>
          </w:p>
          <w:p w14:paraId="7A784A02" w14:textId="24CB253B" w:rsidR="002C5144" w:rsidRPr="00F2057B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Belilla J, Iniesto M, Moreira D, Benzerara K, López-García JM, López-Archilla AI, Reboul G, Deschamps P, Gérard E, López-García P. Archaeal overdominance close to life-limiting conditions in geothermally influenced hypersaline lakes at the Danakil Depression, Ethiopia. Environ Microbiol. 2021; 23(11):7168-7182. doi: 10.1111/1462-2920.15771. PMID: 34519149</w:t>
            </w:r>
          </w:p>
          <w:p w14:paraId="73BC39F1" w14:textId="77777777" w:rsidR="002C5144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Camargo AP, Roux S, Schulz F, Babinski M, Xu Y, Hu B, Chain PSG, Nayfach S, Kyrpides NC. Identification of mobile genetic elements with geNomad. Nat Biotechnol. 2024; 42(8):1303-1312. doi: 10.1038/s41587-023-01953-y. PMID: 37735266</w:t>
            </w:r>
          </w:p>
          <w:p w14:paraId="350FD7B5" w14:textId="77777777" w:rsidR="002C5144" w:rsidRPr="00F2057B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 xml:space="preserve">Guo J, Bolduc B, Zayed AA, Varsani A, Dominguez-Huerta G, Delmont TO, Pratama AA, Gazitúa MC, Vik D, Sullivan MB, Roux S. VirSorter2: a multi-classifier, expert-guided approach to detect diverse </w:t>
            </w:r>
            <w:r w:rsidRPr="00F2057B">
              <w:rPr>
                <w:rFonts w:ascii="Aptos" w:hAnsi="Aptos" w:cs="Arial"/>
                <w:sz w:val="20"/>
                <w:szCs w:val="20"/>
              </w:rPr>
              <w:lastRenderedPageBreak/>
              <w:t>DNA and RNA viruses. Microbiome. 2021; 9(1):37. doi: 10.1186/s40168-020-00990-y. PMID: 33522966</w:t>
            </w:r>
          </w:p>
          <w:p w14:paraId="3BD3168B" w14:textId="77777777" w:rsidR="002C5144" w:rsidRDefault="002C5144" w:rsidP="002C5144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2057B">
              <w:rPr>
                <w:rFonts w:ascii="Aptos" w:hAnsi="Aptos" w:cs="Arial"/>
                <w:sz w:val="20"/>
                <w:szCs w:val="20"/>
              </w:rPr>
              <w:t>Gutiérrez-Preciado A, Dede B, Baker BA, Eme L, Moreira D, López-García P. Extremely acidic proteomes and metabolic flexibility in bacteria and highly diversified archaea thriving in geothermal chaotropic brines. Nat Ecol Evol. 2024 Oct;8(10):1856-1869. doi: 10.1038/s41559-024-02505-6. PMID: 39134651</w:t>
            </w:r>
          </w:p>
          <w:p w14:paraId="146C6D99" w14:textId="77777777" w:rsidR="00EE76DF" w:rsidRDefault="002C5144" w:rsidP="00EE76D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2C5144">
              <w:rPr>
                <w:rFonts w:ascii="Aptos" w:hAnsi="Aptos" w:cs="Arial"/>
                <w:sz w:val="20"/>
                <w:szCs w:val="20"/>
              </w:rPr>
              <w:t xml:space="preserve">Liu Y, Dyall-Smith M, Oksanen HM. ICTV Virus Taxonomy Profile: </w:t>
            </w:r>
            <w:r w:rsidRPr="0057761E">
              <w:rPr>
                <w:rFonts w:ascii="Aptos" w:hAnsi="Aptos" w:cs="Arial"/>
                <w:i/>
                <w:iCs/>
                <w:sz w:val="20"/>
                <w:szCs w:val="20"/>
              </w:rPr>
              <w:t>Pleolipoviridae</w:t>
            </w:r>
            <w:r w:rsidRPr="002C5144">
              <w:rPr>
                <w:rFonts w:ascii="Aptos" w:hAnsi="Aptos" w:cs="Arial"/>
                <w:sz w:val="20"/>
                <w:szCs w:val="20"/>
              </w:rPr>
              <w:t xml:space="preserve"> 2022.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C5144">
              <w:rPr>
                <w:rFonts w:ascii="Aptos" w:hAnsi="Aptos" w:cs="Arial"/>
                <w:sz w:val="20"/>
                <w:szCs w:val="20"/>
              </w:rPr>
              <w:t>J Gen Virol. 2022;103(11). doi: 10.1099/jgv.0.001793.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2C5144">
              <w:rPr>
                <w:rFonts w:ascii="Aptos" w:hAnsi="Aptos" w:cs="Arial"/>
                <w:sz w:val="20"/>
                <w:szCs w:val="20"/>
              </w:rPr>
              <w:t>PMID: 36374180</w:t>
            </w:r>
          </w:p>
          <w:p w14:paraId="145AB938" w14:textId="6C60C0A7" w:rsidR="007E3C6A" w:rsidRDefault="007E3C6A" w:rsidP="007E3C6A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7E3C6A">
              <w:rPr>
                <w:rFonts w:ascii="Aptos" w:hAnsi="Aptos" w:cs="Arial"/>
                <w:sz w:val="20"/>
                <w:szCs w:val="20"/>
              </w:rPr>
              <w:t>Medvedeva S, Borrel G, Krupovic M, Gribaldo 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A compendium of viruses from methanogenic archaea reveals their diversity and adaptations to the gut environment.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Nat Microbiol. 2023;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7E3C6A">
              <w:rPr>
                <w:rFonts w:ascii="Aptos" w:hAnsi="Aptos" w:cs="Arial"/>
                <w:sz w:val="20"/>
                <w:szCs w:val="20"/>
              </w:rPr>
              <w:t>8(11):2170-2182. doi: 10.1038/s41564-023-01485-w. PMID: 37749252</w:t>
            </w:r>
          </w:p>
          <w:p w14:paraId="274AE7DE" w14:textId="79562550" w:rsidR="00EE76DF" w:rsidRDefault="00EE76DF" w:rsidP="00EE76DF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813DE9">
              <w:rPr>
                <w:rFonts w:ascii="Aptos" w:hAnsi="Aptos" w:cs="Arial"/>
                <w:sz w:val="20"/>
                <w:szCs w:val="20"/>
              </w:rPr>
              <w:t>Meier-Kolthoff JP, Göker M. VICTOR: genome-based phylogeny and classification of prokaryotic viruses.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Bioinformatics. 2017;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33(21):3396-3404. doi: 10.1093/bioinformatics/btx440.</w:t>
            </w:r>
            <w:r>
              <w:rPr>
                <w:rFonts w:ascii="Aptos" w:hAnsi="Aptos" w:cs="Arial"/>
                <w:sz w:val="20"/>
                <w:szCs w:val="20"/>
              </w:rPr>
              <w:t xml:space="preserve"> </w:t>
            </w:r>
            <w:r w:rsidRPr="00813DE9">
              <w:rPr>
                <w:rFonts w:ascii="Aptos" w:hAnsi="Aptos" w:cs="Arial"/>
                <w:sz w:val="20"/>
                <w:szCs w:val="20"/>
              </w:rPr>
              <w:t>PMID: 29036289</w:t>
            </w:r>
          </w:p>
          <w:p w14:paraId="7D1B1CCD" w14:textId="7780E4C5" w:rsidR="00953FFE" w:rsidRPr="00E17B7B" w:rsidRDefault="002C5144" w:rsidP="00E17B7B">
            <w:pPr>
              <w:spacing w:after="240"/>
              <w:rPr>
                <w:rFonts w:ascii="Aptos" w:hAnsi="Aptos" w:cs="Arial"/>
                <w:sz w:val="20"/>
                <w:szCs w:val="20"/>
              </w:rPr>
            </w:pPr>
            <w:r w:rsidRPr="00F34ADA">
              <w:rPr>
                <w:rFonts w:ascii="Aptos" w:hAnsi="Aptos" w:cs="Arial"/>
                <w:sz w:val="20"/>
                <w:szCs w:val="20"/>
              </w:rPr>
              <w:t>Zhou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Gutiérrez-Preciado</w:t>
            </w:r>
            <w:r>
              <w:rPr>
                <w:rFonts w:ascii="Aptos" w:hAnsi="Aptos" w:cs="Arial"/>
                <w:sz w:val="20"/>
                <w:szCs w:val="20"/>
              </w:rPr>
              <w:t xml:space="preserve"> A</w:t>
            </w:r>
            <w:r w:rsidRPr="00F34ADA">
              <w:rPr>
                <w:rFonts w:ascii="Aptos" w:hAnsi="Aptos" w:cs="Arial"/>
                <w:sz w:val="20"/>
                <w:szCs w:val="20"/>
              </w:rPr>
              <w:t>, Liu</w:t>
            </w:r>
            <w:r>
              <w:rPr>
                <w:rFonts w:ascii="Aptos" w:hAnsi="Aptos" w:cs="Arial"/>
                <w:sz w:val="20"/>
                <w:szCs w:val="20"/>
              </w:rPr>
              <w:t xml:space="preserve"> Y</w:t>
            </w:r>
            <w:r w:rsidRPr="00F34ADA">
              <w:rPr>
                <w:rFonts w:ascii="Aptos" w:hAnsi="Aptos" w:cs="Arial"/>
                <w:sz w:val="20"/>
                <w:szCs w:val="20"/>
              </w:rPr>
              <w:t>, Moreira</w:t>
            </w:r>
            <w:r>
              <w:rPr>
                <w:rFonts w:ascii="Aptos" w:hAnsi="Aptos" w:cs="Arial"/>
                <w:sz w:val="20"/>
                <w:szCs w:val="20"/>
              </w:rPr>
              <w:t xml:space="preserve"> D</w:t>
            </w:r>
            <w:r w:rsidRPr="00F34ADA">
              <w:rPr>
                <w:rFonts w:ascii="Aptos" w:hAnsi="Aptos" w:cs="Arial"/>
                <w:sz w:val="20"/>
                <w:szCs w:val="20"/>
              </w:rPr>
              <w:t>, Yakimov</w:t>
            </w:r>
            <w:r>
              <w:rPr>
                <w:rFonts w:ascii="Aptos" w:hAnsi="Aptos" w:cs="Arial"/>
                <w:sz w:val="20"/>
                <w:szCs w:val="20"/>
              </w:rPr>
              <w:t xml:space="preserve"> MM</w:t>
            </w:r>
            <w:r w:rsidRPr="00F34ADA">
              <w:rPr>
                <w:rFonts w:ascii="Aptos" w:hAnsi="Aptos" w:cs="Arial"/>
                <w:sz w:val="20"/>
                <w:szCs w:val="20"/>
              </w:rPr>
              <w:t>, López-García</w:t>
            </w:r>
            <w:r>
              <w:rPr>
                <w:rFonts w:ascii="Aptos" w:hAnsi="Aptos" w:cs="Arial"/>
                <w:sz w:val="20"/>
                <w:szCs w:val="20"/>
              </w:rPr>
              <w:t xml:space="preserve"> P</w:t>
            </w:r>
            <w:r w:rsidRPr="00F34ADA">
              <w:rPr>
                <w:rFonts w:ascii="Aptos" w:hAnsi="Aptos" w:cs="Arial"/>
                <w:sz w:val="20"/>
                <w:szCs w:val="20"/>
              </w:rPr>
              <w:t>, Krupovic</w:t>
            </w:r>
            <w:r>
              <w:rPr>
                <w:rFonts w:ascii="Aptos" w:hAnsi="Aptos" w:cs="Arial"/>
                <w:sz w:val="20"/>
                <w:szCs w:val="20"/>
              </w:rPr>
              <w:t xml:space="preserve"> M. </w:t>
            </w:r>
            <w:r w:rsidRPr="00F34ADA">
              <w:rPr>
                <w:rFonts w:ascii="Aptos" w:hAnsi="Aptos" w:cs="Arial"/>
                <w:sz w:val="20"/>
                <w:szCs w:val="20"/>
              </w:rPr>
              <w:t xml:space="preserve"> Nested parasitism in hypersaline environments: viruses and virus satellites of haloarchaea and their nanosized cellular symbionts</w:t>
            </w:r>
            <w:r>
              <w:rPr>
                <w:rFonts w:ascii="Aptos" w:hAnsi="Aptos" w:cs="Arial"/>
                <w:sz w:val="20"/>
                <w:szCs w:val="20"/>
              </w:rPr>
              <w:t xml:space="preserve">. bioRxiv. 2025; </w:t>
            </w:r>
            <w:r w:rsidRPr="00F34ADA">
              <w:rPr>
                <w:rFonts w:ascii="Aptos" w:hAnsi="Aptos" w:cs="Arial"/>
                <w:sz w:val="20"/>
                <w:szCs w:val="20"/>
              </w:rPr>
              <w:t>doi: https://doi.org/10.1101/2025.02.15.638363</w:t>
            </w:r>
            <w:r>
              <w:rPr>
                <w:rFonts w:ascii="Aptos" w:hAnsi="Aptos" w:cs="Arial"/>
                <w:sz w:val="20"/>
                <w:szCs w:val="20"/>
              </w:rPr>
              <w:t>.</w:t>
            </w:r>
          </w:p>
        </w:tc>
      </w:tr>
    </w:tbl>
    <w:p w14:paraId="66E8B2E2" w14:textId="77777777" w:rsidR="00FC2269" w:rsidRDefault="00FC2269" w:rsidP="00FC2269">
      <w:pPr>
        <w:rPr>
          <w:rFonts w:ascii="Aptos" w:hAnsi="Aptos" w:cs="Arial"/>
          <w:color w:val="808080" w:themeColor="background1" w:themeShade="80"/>
          <w:sz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263"/>
        <w:gridCol w:w="6663"/>
      </w:tblGrid>
      <w:tr w:rsidR="00FC2269" w:rsidRPr="009F7856" w14:paraId="52BE71B6" w14:textId="77777777" w:rsidTr="005F790F">
        <w:trPr>
          <w:trHeight w:val="297"/>
        </w:trPr>
        <w:tc>
          <w:tcPr>
            <w:tcW w:w="8926" w:type="dxa"/>
            <w:gridSpan w:val="2"/>
            <w:shd w:val="clear" w:color="auto" w:fill="F2F2F2" w:themeFill="background1" w:themeFillShade="F2"/>
          </w:tcPr>
          <w:p w14:paraId="0823714E" w14:textId="418270AE" w:rsidR="00FC2269" w:rsidRPr="00220A26" w:rsidRDefault="00FC2269" w:rsidP="005F790F">
            <w:pPr>
              <w:rPr>
                <w:rFonts w:ascii="Aptos" w:hAnsi="Aptos" w:cs="Arial"/>
                <w:b/>
                <w:color w:val="0000FF"/>
                <w:sz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 xml:space="preserve">Accompanying files: </w:t>
            </w:r>
          </w:p>
        </w:tc>
      </w:tr>
      <w:tr w:rsidR="00FC2269" w:rsidRPr="009F7856" w14:paraId="1F0BB22C" w14:textId="77777777" w:rsidTr="005F790F">
        <w:trPr>
          <w:trHeight w:val="73"/>
        </w:trPr>
        <w:tc>
          <w:tcPr>
            <w:tcW w:w="2263" w:type="dxa"/>
            <w:shd w:val="clear" w:color="auto" w:fill="auto"/>
          </w:tcPr>
          <w:p w14:paraId="6F1D2BAE" w14:textId="77777777" w:rsidR="00FC2269" w:rsidRPr="00C8775F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 w:rsidRPr="00C8775F">
              <w:rPr>
                <w:rFonts w:ascii="Aptos" w:hAnsi="Aptos" w:cs="Arial"/>
                <w:b/>
                <w:sz w:val="20"/>
                <w:szCs w:val="20"/>
              </w:rPr>
              <w:t>Filename</w:t>
            </w:r>
          </w:p>
        </w:tc>
        <w:tc>
          <w:tcPr>
            <w:tcW w:w="6663" w:type="dxa"/>
            <w:shd w:val="clear" w:color="auto" w:fill="auto"/>
          </w:tcPr>
          <w:p w14:paraId="4D21A6E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  <w:r>
              <w:rPr>
                <w:rFonts w:ascii="Aptos" w:hAnsi="Aptos" w:cs="Arial"/>
                <w:b/>
                <w:sz w:val="20"/>
                <w:szCs w:val="20"/>
              </w:rPr>
              <w:t>Description of contents</w:t>
            </w:r>
          </w:p>
        </w:tc>
      </w:tr>
      <w:tr w:rsidR="00FC2269" w:rsidRPr="009F7856" w14:paraId="206A5E9E" w14:textId="77777777" w:rsidTr="005F790F">
        <w:trPr>
          <w:trHeight w:val="71"/>
        </w:trPr>
        <w:tc>
          <w:tcPr>
            <w:tcW w:w="2263" w:type="dxa"/>
            <w:shd w:val="clear" w:color="auto" w:fill="auto"/>
          </w:tcPr>
          <w:p w14:paraId="1EBF10D0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  <w:tc>
          <w:tcPr>
            <w:tcW w:w="6663" w:type="dxa"/>
            <w:shd w:val="clear" w:color="auto" w:fill="auto"/>
          </w:tcPr>
          <w:p w14:paraId="22F4B256" w14:textId="77777777" w:rsidR="00FC2269" w:rsidRPr="00CF59EA" w:rsidRDefault="00FC2269" w:rsidP="005F790F">
            <w:pPr>
              <w:rPr>
                <w:rFonts w:ascii="Aptos" w:hAnsi="Aptos" w:cs="Arial"/>
                <w:b/>
                <w:sz w:val="20"/>
                <w:szCs w:val="20"/>
              </w:rPr>
            </w:pPr>
          </w:p>
        </w:tc>
      </w:tr>
    </w:tbl>
    <w:p w14:paraId="58E1BBA6" w14:textId="77777777" w:rsidR="00FC2269" w:rsidRDefault="00FC2269" w:rsidP="00DD58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6C0F51" w14:paraId="4041B6A7" w14:textId="77777777" w:rsidTr="006C0F51">
        <w:tc>
          <w:tcPr>
            <w:tcW w:w="8926" w:type="dxa"/>
            <w:shd w:val="clear" w:color="auto" w:fill="F2F2F2" w:themeFill="background1" w:themeFillShade="F2"/>
          </w:tcPr>
          <w:p w14:paraId="39E278D1" w14:textId="7AB725A6" w:rsidR="006C0F51" w:rsidRPr="006C0F51" w:rsidRDefault="006C0F51" w:rsidP="00503392">
            <w:pPr>
              <w:pStyle w:val="BodyTextIndent"/>
              <w:ind w:left="0" w:firstLine="0"/>
              <w:rPr>
                <w:rFonts w:ascii="Aptos" w:hAnsi="Aptos"/>
                <w:color w:val="0070C0"/>
                <w:sz w:val="20"/>
              </w:rPr>
            </w:pPr>
            <w:r w:rsidRPr="006C0F51">
              <w:rPr>
                <w:rFonts w:ascii="Aptos" w:hAnsi="Aptos" w:cs="Arial"/>
                <w:b/>
                <w:iCs/>
                <w:sz w:val="20"/>
              </w:rPr>
              <w:t xml:space="preserve">Tables, Figures:  </w:t>
            </w:r>
          </w:p>
        </w:tc>
      </w:tr>
    </w:tbl>
    <w:p w14:paraId="15B12965" w14:textId="24ADFD37" w:rsidR="00503392" w:rsidRDefault="00FC2269" w:rsidP="00A43EA7">
      <w:pPr>
        <w:rPr>
          <w:rFonts w:ascii="Aptos" w:hAnsi="Aptos"/>
          <w:b/>
          <w:bCs/>
          <w:sz w:val="20"/>
          <w:szCs w:val="20"/>
        </w:rPr>
      </w:pPr>
      <w:r w:rsidRPr="006C0F51">
        <w:rPr>
          <w:rFonts w:ascii="Aptos" w:hAnsi="Aptos" w:cs="Arial"/>
          <w:color w:val="808080" w:themeColor="background1" w:themeShade="80"/>
          <w:sz w:val="20"/>
        </w:rPr>
        <w:t>&lt;Start here&gt;</w:t>
      </w:r>
    </w:p>
    <w:p w14:paraId="66906A3B" w14:textId="18ABE65C" w:rsidR="00A43EA7" w:rsidRDefault="00A43EA7" w:rsidP="00A43EA7">
      <w:pPr>
        <w:rPr>
          <w:rFonts w:ascii="Aptos" w:hAnsi="Aptos"/>
          <w:sz w:val="20"/>
          <w:szCs w:val="20"/>
        </w:rPr>
      </w:pPr>
      <w:r w:rsidRPr="00AD247C">
        <w:rPr>
          <w:rFonts w:ascii="Aptos" w:hAnsi="Aptos"/>
          <w:b/>
          <w:bCs/>
          <w:sz w:val="20"/>
          <w:szCs w:val="20"/>
        </w:rPr>
        <w:t>Table 1.</w:t>
      </w:r>
      <w:r>
        <w:rPr>
          <w:rFonts w:ascii="Aptos" w:hAnsi="Aptos"/>
          <w:sz w:val="20"/>
          <w:szCs w:val="20"/>
        </w:rPr>
        <w:t xml:space="preserve"> Proposed taxonomy and classified viruses.</w:t>
      </w:r>
    </w:p>
    <w:tbl>
      <w:tblPr>
        <w:tblW w:w="9981" w:type="dxa"/>
        <w:tblLook w:val="04A0" w:firstRow="1" w:lastRow="0" w:firstColumn="1" w:lastColumn="0" w:noHBand="0" w:noVBand="1"/>
      </w:tblPr>
      <w:tblGrid>
        <w:gridCol w:w="1253"/>
        <w:gridCol w:w="1660"/>
        <w:gridCol w:w="1575"/>
        <w:gridCol w:w="1603"/>
        <w:gridCol w:w="1814"/>
        <w:gridCol w:w="1160"/>
        <w:gridCol w:w="916"/>
      </w:tblGrid>
      <w:tr w:rsidR="00A43EA7" w:rsidRPr="00AD247C" w14:paraId="05AF938B" w14:textId="77777777" w:rsidTr="007B68EC">
        <w:trPr>
          <w:trHeight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494D" w14:textId="77777777" w:rsidR="00A43EA7" w:rsidRPr="00E278EF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Order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F014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Family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718B1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Genus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B0795" w14:textId="77777777" w:rsidR="00A43EA7" w:rsidRPr="002F7A15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2F7A15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Species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EAB54" w14:textId="77777777" w:rsidR="00A43EA7" w:rsidRPr="00AD247C" w:rsidRDefault="00A43EA7" w:rsidP="005B0598">
            <w:pPr>
              <w:ind w:left="-21" w:right="-2487"/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Virus name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AB4E" w14:textId="77777777" w:rsidR="00A43EA7" w:rsidRPr="00AD247C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GenBank accession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977E" w14:textId="77777777" w:rsidR="00A43EA7" w:rsidRPr="00AD247C" w:rsidRDefault="00A43EA7" w:rsidP="005B0598">
            <w:pPr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</w:pPr>
            <w:r w:rsidRPr="00AD247C">
              <w:rPr>
                <w:rFonts w:ascii="Aptos" w:hAnsi="Aptos" w:cs="Arial"/>
                <w:b/>
                <w:bCs/>
                <w:color w:val="000000"/>
                <w:sz w:val="18"/>
                <w:szCs w:val="18"/>
              </w:rPr>
              <w:t>Genome size, bp</w:t>
            </w:r>
          </w:p>
        </w:tc>
      </w:tr>
      <w:tr w:rsidR="00A43EA7" w:rsidRPr="00AD247C" w14:paraId="21412774" w14:textId="77777777" w:rsidTr="007B68EC">
        <w:trPr>
          <w:trHeight w:val="288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FC03" w14:textId="641F7193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 w:cs="Arial"/>
                <w:i/>
                <w:iCs/>
                <w:sz w:val="18"/>
                <w:szCs w:val="18"/>
              </w:rPr>
              <w:t>Haloruvirales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C1A1" w14:textId="684FD2D4" w:rsidR="00A43EA7" w:rsidRPr="00E278EF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Pleolipoviridae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3FC5B" w14:textId="57D02E32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i/>
                <w:iCs/>
                <w:sz w:val="18"/>
                <w:szCs w:val="18"/>
              </w:rPr>
              <w:t>Betapleolipovirus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4F1BF" w14:textId="07A431C8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i/>
                <w:iCs/>
                <w:sz w:val="18"/>
                <w:szCs w:val="18"/>
              </w:rPr>
              <w:t>Betapleolipovirus danakilense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AF930" w14:textId="4F9852AC" w:rsidR="00A43EA7" w:rsidRPr="001B4596" w:rsidRDefault="007B68EC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B68EC">
              <w:rPr>
                <w:rFonts w:ascii="Aptos" w:hAnsi="Aptos" w:cs="Arial"/>
                <w:color w:val="000000"/>
                <w:sz w:val="18"/>
                <w:szCs w:val="18"/>
              </w:rPr>
              <w:t>Danakil Halobacteriales pleomorphic virus 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 (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DH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P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V1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740" w14:textId="47D8BF9E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PQ827551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F496F" w14:textId="2B93A93B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9186</w:t>
            </w:r>
          </w:p>
        </w:tc>
      </w:tr>
      <w:tr w:rsidR="00A43EA7" w:rsidRPr="00AD247C" w14:paraId="660FFC5F" w14:textId="77777777" w:rsidTr="007B68EC">
        <w:trPr>
          <w:trHeight w:val="288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57FE" w14:textId="4B635739" w:rsidR="00A43EA7" w:rsidRPr="00A43EA7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A43EA7">
              <w:rPr>
                <w:rFonts w:ascii="Aptos" w:hAnsi="Aptos" w:cs="Arial"/>
                <w:i/>
                <w:iCs/>
                <w:sz w:val="18"/>
                <w:szCs w:val="18"/>
              </w:rPr>
              <w:t>Haloruvirales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96B9" w14:textId="14112789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  <w:t>Nanopleoviridae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FCD1" w14:textId="684A3AC6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/>
                <w:i/>
                <w:iCs/>
                <w:sz w:val="18"/>
                <w:szCs w:val="18"/>
              </w:rPr>
              <w:t>Milaagivirus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ADF3" w14:textId="413192AF" w:rsidR="00A43EA7" w:rsidRPr="00314924" w:rsidRDefault="00A43EA7" w:rsidP="00A43EA7">
            <w:pPr>
              <w:rPr>
                <w:rFonts w:ascii="Aptos" w:hAnsi="Aptos" w:cs="Arial"/>
                <w:i/>
                <w:iCs/>
                <w:color w:val="000000"/>
                <w:sz w:val="18"/>
                <w:szCs w:val="18"/>
              </w:rPr>
            </w:pPr>
            <w:r w:rsidRPr="00314924">
              <w:rPr>
                <w:rFonts w:ascii="Aptos" w:hAnsi="Aptos"/>
                <w:i/>
                <w:iCs/>
                <w:sz w:val="18"/>
                <w:szCs w:val="18"/>
              </w:rPr>
              <w:t>Milaagivirus danakilense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21CD1" w14:textId="21A86A07" w:rsidR="00A43EA7" w:rsidRPr="001B4596" w:rsidRDefault="007B68EC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7B68EC">
              <w:rPr>
                <w:rFonts w:ascii="Aptos" w:hAnsi="Aptos" w:cs="Arial"/>
                <w:color w:val="000000"/>
                <w:sz w:val="18"/>
                <w:szCs w:val="18"/>
              </w:rPr>
              <w:t>Danakil Nanohaloarchaeota pleomorphic virus 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 xml:space="preserve"> (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D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NP</w:t>
            </w:r>
            <w:r w:rsidR="00A43EA7" w:rsidRPr="001B4596">
              <w:rPr>
                <w:rFonts w:ascii="Aptos" w:hAnsi="Aptos" w:cs="Arial"/>
                <w:color w:val="000000"/>
                <w:sz w:val="18"/>
                <w:szCs w:val="18"/>
              </w:rPr>
              <w:t>V</w:t>
            </w:r>
            <w:r w:rsidR="00A43EA7">
              <w:rPr>
                <w:rFonts w:ascii="Aptos" w:hAnsi="Aptos" w:cs="Arial"/>
                <w:color w:val="000000"/>
                <w:sz w:val="18"/>
                <w:szCs w:val="18"/>
              </w:rPr>
              <w:t>1</w:t>
            </w:r>
            <w:r>
              <w:rPr>
                <w:rFonts w:ascii="Aptos" w:hAnsi="Aptos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5A17" w14:textId="502913C4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PQ827562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E7DE" w14:textId="7713C53A" w:rsidR="00A43EA7" w:rsidRPr="00A43EA7" w:rsidRDefault="00A43EA7" w:rsidP="00A43EA7">
            <w:pPr>
              <w:rPr>
                <w:rFonts w:ascii="Aptos" w:hAnsi="Aptos" w:cs="Arial"/>
                <w:color w:val="000000"/>
                <w:sz w:val="18"/>
                <w:szCs w:val="18"/>
              </w:rPr>
            </w:pPr>
            <w:r w:rsidRPr="00A43EA7">
              <w:rPr>
                <w:rFonts w:ascii="Aptos" w:hAnsi="Aptos"/>
                <w:sz w:val="18"/>
                <w:szCs w:val="18"/>
              </w:rPr>
              <w:t>9084</w:t>
            </w:r>
          </w:p>
        </w:tc>
      </w:tr>
    </w:tbl>
    <w:p w14:paraId="004A70CE" w14:textId="114EE765" w:rsidR="006B67C0" w:rsidRDefault="005E00B3" w:rsidP="00FC2269">
      <w:pPr>
        <w:rPr>
          <w:rFonts w:ascii="Aptos" w:hAnsi="Aptos"/>
          <w:sz w:val="20"/>
          <w:szCs w:val="20"/>
        </w:rPr>
      </w:pPr>
      <w:r>
        <w:rPr>
          <w:rFonts w:ascii="Aptos" w:hAnsi="Aptos"/>
          <w:noProof/>
          <w:color w:val="0070C0"/>
        </w:rPr>
        <w:drawing>
          <wp:inline distT="0" distB="0" distL="0" distR="0" wp14:anchorId="11B49526" wp14:editId="48EC3C7C">
            <wp:extent cx="5035306" cy="1537719"/>
            <wp:effectExtent l="0" t="0" r="0" b="5715"/>
            <wp:docPr id="1983395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395564" name="Picture 19833955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306" cy="153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67C0" w:rsidRPr="005023D3">
        <w:rPr>
          <w:rFonts w:ascii="Aptos" w:hAnsi="Aptos"/>
          <w:b/>
          <w:bCs/>
          <w:sz w:val="20"/>
          <w:szCs w:val="20"/>
        </w:rPr>
        <w:t>Figure 1.</w:t>
      </w:r>
      <w:r w:rsidR="006B67C0">
        <w:rPr>
          <w:rFonts w:ascii="Aptos" w:hAnsi="Aptos"/>
          <w:sz w:val="20"/>
          <w:szCs w:val="20"/>
        </w:rPr>
        <w:t xml:space="preserve"> Genome maps of new h</w:t>
      </w:r>
      <w:r w:rsidR="006B67C0" w:rsidRPr="006B67C0">
        <w:rPr>
          <w:rFonts w:ascii="Aptos" w:hAnsi="Aptos"/>
          <w:sz w:val="20"/>
          <w:szCs w:val="20"/>
        </w:rPr>
        <w:t>aloruviral</w:t>
      </w:r>
      <w:r w:rsidR="006B67C0">
        <w:rPr>
          <w:rFonts w:ascii="Aptos" w:hAnsi="Aptos"/>
          <w:sz w:val="20"/>
          <w:szCs w:val="20"/>
        </w:rPr>
        <w:t xml:space="preserve">s. a. </w:t>
      </w:r>
      <w:r w:rsidR="006B67C0" w:rsidRPr="00FA2CEE">
        <w:rPr>
          <w:rFonts w:ascii="Aptos" w:hAnsi="Aptos"/>
          <w:sz w:val="20"/>
          <w:szCs w:val="20"/>
        </w:rPr>
        <w:t xml:space="preserve">Danakil haloarchaeal </w:t>
      </w:r>
      <w:r w:rsidR="006B67C0">
        <w:rPr>
          <w:rFonts w:ascii="Aptos" w:hAnsi="Aptos"/>
          <w:sz w:val="20"/>
          <w:szCs w:val="20"/>
        </w:rPr>
        <w:t>pleomorphic</w:t>
      </w:r>
      <w:r w:rsidR="006B67C0" w:rsidRPr="00FA2CEE">
        <w:rPr>
          <w:rFonts w:ascii="Aptos" w:hAnsi="Aptos"/>
          <w:sz w:val="20"/>
          <w:szCs w:val="20"/>
        </w:rPr>
        <w:t xml:space="preserve"> virus 1</w:t>
      </w:r>
      <w:r w:rsidR="006B67C0">
        <w:rPr>
          <w:rFonts w:ascii="Aptos" w:hAnsi="Aptos"/>
          <w:sz w:val="20"/>
          <w:szCs w:val="20"/>
        </w:rPr>
        <w:t xml:space="preserve"> (</w:t>
      </w:r>
      <w:r w:rsidR="006B67C0" w:rsidRPr="00FA2CEE">
        <w:rPr>
          <w:rFonts w:ascii="Aptos" w:hAnsi="Aptos"/>
          <w:sz w:val="20"/>
          <w:szCs w:val="20"/>
        </w:rPr>
        <w:t>DH</w:t>
      </w:r>
      <w:r w:rsidR="006B67C0">
        <w:rPr>
          <w:rFonts w:ascii="Aptos" w:hAnsi="Aptos"/>
          <w:sz w:val="20"/>
          <w:szCs w:val="20"/>
        </w:rPr>
        <w:t>P</w:t>
      </w:r>
      <w:r w:rsidR="006B67C0" w:rsidRPr="00FA2CEE">
        <w:rPr>
          <w:rFonts w:ascii="Aptos" w:hAnsi="Aptos"/>
          <w:sz w:val="20"/>
          <w:szCs w:val="20"/>
        </w:rPr>
        <w:t>V1</w:t>
      </w:r>
      <w:r w:rsidR="006B67C0">
        <w:rPr>
          <w:rFonts w:ascii="Aptos" w:hAnsi="Aptos"/>
          <w:sz w:val="20"/>
          <w:szCs w:val="20"/>
        </w:rPr>
        <w:t xml:space="preserve">). b. </w:t>
      </w:r>
      <w:r w:rsidR="006B67C0" w:rsidRPr="00FA2CEE">
        <w:rPr>
          <w:rFonts w:ascii="Aptos" w:hAnsi="Aptos"/>
          <w:sz w:val="20"/>
          <w:szCs w:val="20"/>
        </w:rPr>
        <w:t xml:space="preserve">Danakil nanohaloarchaeal </w:t>
      </w:r>
      <w:r w:rsidR="006B67C0">
        <w:rPr>
          <w:rFonts w:ascii="Aptos" w:hAnsi="Aptos"/>
          <w:sz w:val="20"/>
          <w:szCs w:val="20"/>
        </w:rPr>
        <w:t>pleomorphic</w:t>
      </w:r>
      <w:r w:rsidR="006B67C0" w:rsidRPr="00FA2CEE">
        <w:rPr>
          <w:rFonts w:ascii="Aptos" w:hAnsi="Aptos"/>
          <w:sz w:val="20"/>
          <w:szCs w:val="20"/>
        </w:rPr>
        <w:t xml:space="preserve"> virus 1</w:t>
      </w:r>
      <w:r w:rsidR="006B67C0">
        <w:rPr>
          <w:rFonts w:ascii="Aptos" w:hAnsi="Aptos"/>
          <w:sz w:val="20"/>
          <w:szCs w:val="20"/>
        </w:rPr>
        <w:t xml:space="preserve"> (</w:t>
      </w:r>
      <w:r w:rsidR="006B67C0" w:rsidRPr="00FA2CEE">
        <w:rPr>
          <w:rFonts w:ascii="Aptos" w:hAnsi="Aptos"/>
          <w:sz w:val="20"/>
          <w:szCs w:val="20"/>
        </w:rPr>
        <w:t>DN</w:t>
      </w:r>
      <w:r w:rsidR="006B67C0">
        <w:rPr>
          <w:rFonts w:ascii="Aptos" w:hAnsi="Aptos"/>
          <w:sz w:val="20"/>
          <w:szCs w:val="20"/>
        </w:rPr>
        <w:t>P</w:t>
      </w:r>
      <w:r w:rsidR="006B67C0" w:rsidRPr="00FA2CEE">
        <w:rPr>
          <w:rFonts w:ascii="Aptos" w:hAnsi="Aptos"/>
          <w:sz w:val="20"/>
          <w:szCs w:val="20"/>
        </w:rPr>
        <w:t>V1</w:t>
      </w:r>
      <w:r w:rsidR="006B67C0">
        <w:rPr>
          <w:rFonts w:ascii="Aptos" w:hAnsi="Aptos"/>
          <w:sz w:val="20"/>
          <w:szCs w:val="20"/>
        </w:rPr>
        <w:t>).</w:t>
      </w:r>
      <w:r w:rsidR="006B67C0" w:rsidRPr="00FA2CEE">
        <w:t xml:space="preserve"> </w:t>
      </w:r>
      <w:r w:rsidR="006B67C0">
        <w:rPr>
          <w:rFonts w:ascii="Aptos" w:hAnsi="Aptos"/>
          <w:sz w:val="20"/>
          <w:szCs w:val="20"/>
        </w:rPr>
        <w:t>HTH, helix-turn-helix domain protein</w:t>
      </w:r>
      <w:r w:rsidR="006B67C0" w:rsidRPr="00FA2CEE">
        <w:rPr>
          <w:rFonts w:ascii="Aptos" w:hAnsi="Aptos"/>
          <w:sz w:val="20"/>
          <w:szCs w:val="20"/>
        </w:rPr>
        <w:t xml:space="preserve">; REase, restriction endonuclease; </w:t>
      </w:r>
      <w:r w:rsidR="006B67C0">
        <w:rPr>
          <w:rFonts w:ascii="Aptos" w:hAnsi="Aptos"/>
          <w:sz w:val="20"/>
          <w:szCs w:val="20"/>
        </w:rPr>
        <w:t>Rep, rolling circle replication initiation protein</w:t>
      </w:r>
      <w:r w:rsidR="009F5C57">
        <w:rPr>
          <w:rFonts w:ascii="Aptos" w:hAnsi="Aptos"/>
          <w:sz w:val="20"/>
          <w:szCs w:val="20"/>
        </w:rPr>
        <w:t>; HRPV-1, Halorubrum pleomorphic virus 1</w:t>
      </w:r>
      <w:r w:rsidR="006B67C0">
        <w:rPr>
          <w:rFonts w:ascii="Aptos" w:hAnsi="Aptos"/>
          <w:sz w:val="20"/>
          <w:szCs w:val="20"/>
        </w:rPr>
        <w:t>.</w:t>
      </w:r>
    </w:p>
    <w:p w14:paraId="1634ECEE" w14:textId="77777777" w:rsidR="009B713E" w:rsidRDefault="009B713E" w:rsidP="00FC2269">
      <w:pPr>
        <w:rPr>
          <w:rFonts w:ascii="Aptos" w:hAnsi="Aptos"/>
          <w:sz w:val="20"/>
          <w:szCs w:val="20"/>
        </w:rPr>
      </w:pPr>
    </w:p>
    <w:p w14:paraId="7C2E60FE" w14:textId="46867F63" w:rsidR="00EE76DF" w:rsidRPr="00F110F7" w:rsidRDefault="00EE76DF" w:rsidP="00FC2269">
      <w:pPr>
        <w:rPr>
          <w:rFonts w:ascii="Aptos" w:hAnsi="Aptos"/>
          <w:color w:val="0070C0"/>
        </w:rPr>
      </w:pPr>
      <w:r>
        <w:rPr>
          <w:rFonts w:ascii="Aptos" w:hAnsi="Aptos"/>
          <w:noProof/>
          <w:color w:val="0070C0"/>
        </w:rPr>
        <w:lastRenderedPageBreak/>
        <w:drawing>
          <wp:inline distT="0" distB="0" distL="0" distR="0" wp14:anchorId="18A983CF" wp14:editId="78E25B9B">
            <wp:extent cx="5111506" cy="5248667"/>
            <wp:effectExtent l="0" t="0" r="0" b="0"/>
            <wp:docPr id="4818473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847312" name="Picture 48184731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506" cy="524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15F1">
        <w:rPr>
          <w:rFonts w:ascii="Aptos" w:hAnsi="Aptos"/>
          <w:b/>
          <w:bCs/>
          <w:sz w:val="20"/>
          <w:szCs w:val="20"/>
        </w:rPr>
        <w:t xml:space="preserve">Figure </w:t>
      </w:r>
      <w:r>
        <w:rPr>
          <w:rFonts w:ascii="Aptos" w:hAnsi="Aptos"/>
          <w:b/>
          <w:bCs/>
          <w:sz w:val="20"/>
          <w:szCs w:val="20"/>
        </w:rPr>
        <w:t>2</w:t>
      </w:r>
      <w:r w:rsidRPr="006615F1">
        <w:rPr>
          <w:rFonts w:ascii="Aptos" w:hAnsi="Aptos"/>
          <w:b/>
          <w:bCs/>
          <w:sz w:val="20"/>
          <w:szCs w:val="20"/>
        </w:rPr>
        <w:t>.</w:t>
      </w:r>
      <w:r>
        <w:rPr>
          <w:rFonts w:ascii="Aptos" w:hAnsi="Aptos"/>
          <w:sz w:val="20"/>
          <w:szCs w:val="20"/>
        </w:rPr>
        <w:t xml:space="preserve"> </w:t>
      </w:r>
      <w:r w:rsidRPr="00813DE9">
        <w:rPr>
          <w:rFonts w:ascii="Aptos" w:hAnsi="Aptos"/>
          <w:sz w:val="20"/>
          <w:szCs w:val="20"/>
        </w:rPr>
        <w:t xml:space="preserve">Inferred phylogenomic tree of pleomorphic viruses associated with </w:t>
      </w:r>
      <w:r>
        <w:rPr>
          <w:rFonts w:ascii="Aptos" w:hAnsi="Aptos"/>
          <w:sz w:val="20"/>
          <w:szCs w:val="20"/>
        </w:rPr>
        <w:t>different archaeal lineages. The tree is</w:t>
      </w:r>
      <w:r w:rsidRPr="00813DE9">
        <w:rPr>
          <w:rFonts w:ascii="Aptos" w:hAnsi="Aptos"/>
          <w:sz w:val="20"/>
          <w:szCs w:val="20"/>
        </w:rPr>
        <w:t xml:space="preserve"> based on whole genome VICTOR analysis at the amino acid level </w:t>
      </w:r>
      <w:r>
        <w:rPr>
          <w:rFonts w:ascii="Aptos" w:hAnsi="Aptos"/>
          <w:sz w:val="20"/>
          <w:szCs w:val="20"/>
        </w:rPr>
        <w:t>(</w:t>
      </w:r>
      <w:r w:rsidRPr="00813DE9">
        <w:rPr>
          <w:rFonts w:ascii="Aptos" w:hAnsi="Aptos" w:cs="Arial"/>
          <w:sz w:val="20"/>
          <w:szCs w:val="20"/>
        </w:rPr>
        <w:t xml:space="preserve">Meier-Kolthoff </w:t>
      </w:r>
      <w:r>
        <w:rPr>
          <w:rFonts w:ascii="Aptos" w:hAnsi="Aptos" w:cs="Arial"/>
          <w:sz w:val="20"/>
          <w:szCs w:val="20"/>
        </w:rPr>
        <w:t>and</w:t>
      </w:r>
      <w:r w:rsidRPr="00813DE9">
        <w:rPr>
          <w:rFonts w:ascii="Aptos" w:hAnsi="Aptos" w:cs="Arial"/>
          <w:sz w:val="20"/>
          <w:szCs w:val="20"/>
        </w:rPr>
        <w:t xml:space="preserve"> Göker</w:t>
      </w:r>
      <w:r>
        <w:rPr>
          <w:rFonts w:ascii="Aptos" w:hAnsi="Aptos" w:cs="Arial"/>
          <w:sz w:val="20"/>
          <w:szCs w:val="20"/>
        </w:rPr>
        <w:t>, 2017)</w:t>
      </w:r>
      <w:r w:rsidRPr="00813DE9">
        <w:rPr>
          <w:rFonts w:ascii="Aptos" w:hAnsi="Aptos"/>
          <w:sz w:val="20"/>
          <w:szCs w:val="20"/>
        </w:rPr>
        <w:t>. The tree is midpoint rooted and the branch length is scaled in terms of the Genome BLAST Distance Phylogeny (GBDP) distance formula D6.</w:t>
      </w:r>
      <w:r w:rsidRPr="006615F1">
        <w:t xml:space="preserve"> </w:t>
      </w:r>
      <w:r w:rsidRPr="006615F1">
        <w:rPr>
          <w:rFonts w:ascii="Aptos" w:hAnsi="Aptos"/>
          <w:sz w:val="20"/>
          <w:szCs w:val="20"/>
        </w:rPr>
        <w:t>The numbers above branches are GBDP pseudo-bootstrap support values</w:t>
      </w:r>
      <w:r>
        <w:rPr>
          <w:rFonts w:ascii="Aptos" w:hAnsi="Aptos"/>
          <w:sz w:val="20"/>
          <w:szCs w:val="20"/>
        </w:rPr>
        <w:t xml:space="preserve"> </w:t>
      </w:r>
      <w:r w:rsidRPr="006615F1">
        <w:rPr>
          <w:rFonts w:ascii="Aptos" w:hAnsi="Aptos"/>
          <w:sz w:val="20"/>
          <w:szCs w:val="20"/>
        </w:rPr>
        <w:t>from 100 replications.</w:t>
      </w:r>
    </w:p>
    <w:sectPr w:rsidR="00EE76DF" w:rsidRPr="00F110F7" w:rsidSect="00A82FBB">
      <w:headerReference w:type="default" r:id="rId14"/>
      <w:footerReference w:type="default" r:id="rId15"/>
      <w:pgSz w:w="11906" w:h="16838"/>
      <w:pgMar w:top="1440" w:right="1133" w:bottom="993" w:left="144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4783A" w14:textId="77777777" w:rsidR="00320F89" w:rsidRDefault="00320F89">
      <w:r>
        <w:separator/>
      </w:r>
    </w:p>
  </w:endnote>
  <w:endnote w:type="continuationSeparator" w:id="0">
    <w:p w14:paraId="00786407" w14:textId="77777777" w:rsidR="00320F89" w:rsidRDefault="0032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SemiBold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371881"/>
      <w:docPartObj>
        <w:docPartGallery w:val="Page Numbers (Bottom of Page)"/>
        <w:docPartUnique/>
      </w:docPartObj>
    </w:sdtPr>
    <w:sdtEndPr>
      <w:rPr>
        <w:rFonts w:ascii="Aptos" w:hAnsi="Aptos"/>
        <w:color w:val="7F7F7F" w:themeColor="background1" w:themeShade="7F"/>
        <w:spacing w:val="60"/>
        <w:sz w:val="16"/>
        <w:szCs w:val="16"/>
      </w:rPr>
    </w:sdtEndPr>
    <w:sdtContent>
      <w:p w14:paraId="301D0DEA" w14:textId="0546672C" w:rsidR="00AD5A3A" w:rsidRPr="00AD5A3A" w:rsidRDefault="00AD5A3A">
        <w:pPr>
          <w:pStyle w:val="Footer"/>
          <w:pBdr>
            <w:top w:val="single" w:sz="4" w:space="1" w:color="D9D9D9" w:themeColor="background1" w:themeShade="D9"/>
          </w:pBdr>
          <w:rPr>
            <w:rFonts w:ascii="Aptos" w:hAnsi="Aptos"/>
            <w:b/>
            <w:bCs/>
            <w:sz w:val="16"/>
            <w:szCs w:val="16"/>
          </w:rPr>
        </w:pPr>
        <w:r w:rsidRPr="00AD5A3A">
          <w:rPr>
            <w:rFonts w:ascii="Aptos" w:hAnsi="Aptos"/>
            <w:sz w:val="16"/>
            <w:szCs w:val="16"/>
          </w:rPr>
          <w:fldChar w:fldCharType="begin"/>
        </w:r>
        <w:r w:rsidRPr="00AD5A3A">
          <w:rPr>
            <w:rFonts w:ascii="Aptos" w:hAnsi="Aptos"/>
            <w:sz w:val="16"/>
            <w:szCs w:val="16"/>
          </w:rPr>
          <w:instrText xml:space="preserve"> PAGE   \* MERGEFORMAT </w:instrText>
        </w:r>
        <w:r w:rsidRPr="00AD5A3A">
          <w:rPr>
            <w:rFonts w:ascii="Aptos" w:hAnsi="Aptos"/>
            <w:sz w:val="16"/>
            <w:szCs w:val="16"/>
          </w:rPr>
          <w:fldChar w:fldCharType="separate"/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t>2</w:t>
        </w:r>
        <w:r w:rsidRPr="00AD5A3A">
          <w:rPr>
            <w:rFonts w:ascii="Aptos" w:hAnsi="Aptos"/>
            <w:b/>
            <w:bCs/>
            <w:noProof/>
            <w:sz w:val="16"/>
            <w:szCs w:val="16"/>
          </w:rPr>
          <w:fldChar w:fldCharType="end"/>
        </w:r>
        <w:r w:rsidRPr="00AD5A3A">
          <w:rPr>
            <w:rFonts w:ascii="Aptos" w:hAnsi="Aptos"/>
            <w:b/>
            <w:bCs/>
            <w:sz w:val="16"/>
            <w:szCs w:val="16"/>
          </w:rPr>
          <w:t xml:space="preserve"> | </w:t>
        </w:r>
        <w:r w:rsidRPr="00AD5A3A">
          <w:rPr>
            <w:rFonts w:ascii="Aptos" w:hAnsi="Aptos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14:paraId="2FCECFD9" w14:textId="77777777" w:rsidR="00AD5A3A" w:rsidRDefault="00AD5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8ACDE" w14:textId="77777777" w:rsidR="00320F89" w:rsidRDefault="00320F89">
      <w:r>
        <w:separator/>
      </w:r>
    </w:p>
  </w:footnote>
  <w:footnote w:type="continuationSeparator" w:id="0">
    <w:p w14:paraId="2DDF492C" w14:textId="77777777" w:rsidR="00320F89" w:rsidRDefault="0032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CB4D" w14:textId="57B5E999" w:rsidR="00F911F1" w:rsidRPr="00F110F7" w:rsidRDefault="00ED4569" w:rsidP="00AD5A3A">
    <w:pPr>
      <w:pStyle w:val="Header"/>
      <w:jc w:val="right"/>
      <w:rPr>
        <w:i/>
        <w:sz w:val="18"/>
        <w:szCs w:val="18"/>
      </w:rPr>
    </w:pPr>
    <w:r w:rsidRPr="00C95FB7">
      <w:rPr>
        <w:rFonts w:ascii="Aptos" w:hAnsi="Aptos"/>
        <w:noProof/>
      </w:rPr>
      <w:drawing>
        <wp:anchor distT="0" distB="0" distL="114300" distR="114300" simplePos="0" relativeHeight="251659264" behindDoc="0" locked="0" layoutInCell="1" allowOverlap="1" wp14:anchorId="4A2F57D8" wp14:editId="36A0E421">
          <wp:simplePos x="0" y="0"/>
          <wp:positionH relativeFrom="margin">
            <wp:posOffset>243444</wp:posOffset>
          </wp:positionH>
          <wp:positionV relativeFrom="paragraph">
            <wp:posOffset>-105831</wp:posOffset>
          </wp:positionV>
          <wp:extent cx="560705" cy="344170"/>
          <wp:effectExtent l="0" t="0" r="0" b="0"/>
          <wp:wrapSquare wrapText="bothSides"/>
          <wp:docPr id="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A3A" w:rsidRPr="00F110F7">
      <w:rPr>
        <w:rFonts w:ascii="Aptos" w:hAnsi="Aptos"/>
        <w:i/>
        <w:sz w:val="18"/>
        <w:szCs w:val="18"/>
      </w:rPr>
      <w:t>ICTV Taxonomy Proposal Form 202</w:t>
    </w:r>
    <w:r w:rsidR="0004176B">
      <w:rPr>
        <w:rFonts w:ascii="Aptos" w:hAnsi="Aptos"/>
        <w:i/>
        <w:sz w:val="18"/>
        <w:szCs w:val="18"/>
      </w:rPr>
      <w:t>5</w:t>
    </w:r>
    <w:r w:rsidR="00AD5A3A" w:rsidRPr="00F110F7">
      <w:rPr>
        <w:rFonts w:ascii="Aptos" w:hAnsi="Aptos"/>
        <w:i/>
        <w:sz w:val="18"/>
        <w:szCs w:val="18"/>
      </w:rPr>
      <w:t xml:space="preserve"> v.</w:t>
    </w:r>
    <w:r w:rsidR="00F943F9">
      <w:rPr>
        <w:rFonts w:ascii="Aptos" w:hAnsi="Aptos"/>
        <w:i/>
        <w:sz w:val="18"/>
        <w:szCs w:val="1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E3ACD"/>
    <w:multiLevelType w:val="multilevel"/>
    <w:tmpl w:val="0BF4F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95761"/>
    <w:multiLevelType w:val="multilevel"/>
    <w:tmpl w:val="B7608EB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53514B1"/>
    <w:multiLevelType w:val="hybridMultilevel"/>
    <w:tmpl w:val="FE46762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E28"/>
    <w:multiLevelType w:val="hybridMultilevel"/>
    <w:tmpl w:val="1754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10F9"/>
    <w:multiLevelType w:val="multilevel"/>
    <w:tmpl w:val="B18CCF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C"/>
    <w:rsid w:val="00001448"/>
    <w:rsid w:val="00017BF9"/>
    <w:rsid w:val="00023385"/>
    <w:rsid w:val="00035A87"/>
    <w:rsid w:val="000406E1"/>
    <w:rsid w:val="00040CB0"/>
    <w:rsid w:val="0004176B"/>
    <w:rsid w:val="000449DB"/>
    <w:rsid w:val="0007748F"/>
    <w:rsid w:val="0008012E"/>
    <w:rsid w:val="0008796A"/>
    <w:rsid w:val="000A146A"/>
    <w:rsid w:val="000A7027"/>
    <w:rsid w:val="000B1BF3"/>
    <w:rsid w:val="000B5D78"/>
    <w:rsid w:val="000B6878"/>
    <w:rsid w:val="000D182E"/>
    <w:rsid w:val="000E54FF"/>
    <w:rsid w:val="000F51F4"/>
    <w:rsid w:val="000F7067"/>
    <w:rsid w:val="00106232"/>
    <w:rsid w:val="0011008F"/>
    <w:rsid w:val="00117C72"/>
    <w:rsid w:val="0013113D"/>
    <w:rsid w:val="001322FC"/>
    <w:rsid w:val="00146EAB"/>
    <w:rsid w:val="00171083"/>
    <w:rsid w:val="00172351"/>
    <w:rsid w:val="00185AD3"/>
    <w:rsid w:val="00186770"/>
    <w:rsid w:val="001D0007"/>
    <w:rsid w:val="001D3E3E"/>
    <w:rsid w:val="00207506"/>
    <w:rsid w:val="00220A26"/>
    <w:rsid w:val="002312CE"/>
    <w:rsid w:val="0023149A"/>
    <w:rsid w:val="0023696B"/>
    <w:rsid w:val="0024086E"/>
    <w:rsid w:val="0025498B"/>
    <w:rsid w:val="00273642"/>
    <w:rsid w:val="00286CCD"/>
    <w:rsid w:val="00296DA3"/>
    <w:rsid w:val="002A5A83"/>
    <w:rsid w:val="002C5144"/>
    <w:rsid w:val="002D4340"/>
    <w:rsid w:val="00314924"/>
    <w:rsid w:val="00320F89"/>
    <w:rsid w:val="00327E73"/>
    <w:rsid w:val="00333392"/>
    <w:rsid w:val="00355CE0"/>
    <w:rsid w:val="00363A30"/>
    <w:rsid w:val="0037243A"/>
    <w:rsid w:val="00373EAE"/>
    <w:rsid w:val="00382FE8"/>
    <w:rsid w:val="00383BBF"/>
    <w:rsid w:val="0038593F"/>
    <w:rsid w:val="003A166F"/>
    <w:rsid w:val="003A18C5"/>
    <w:rsid w:val="003A5ED7"/>
    <w:rsid w:val="003B0883"/>
    <w:rsid w:val="003B3832"/>
    <w:rsid w:val="003C5428"/>
    <w:rsid w:val="003F2A97"/>
    <w:rsid w:val="003F5219"/>
    <w:rsid w:val="0043110C"/>
    <w:rsid w:val="00434619"/>
    <w:rsid w:val="00437970"/>
    <w:rsid w:val="00444D18"/>
    <w:rsid w:val="00471256"/>
    <w:rsid w:val="004823AB"/>
    <w:rsid w:val="004C087B"/>
    <w:rsid w:val="004F2F1E"/>
    <w:rsid w:val="004F3196"/>
    <w:rsid w:val="00503392"/>
    <w:rsid w:val="00505F32"/>
    <w:rsid w:val="005352F3"/>
    <w:rsid w:val="00536426"/>
    <w:rsid w:val="00543F86"/>
    <w:rsid w:val="0055461D"/>
    <w:rsid w:val="0057761E"/>
    <w:rsid w:val="0058465A"/>
    <w:rsid w:val="00590DF3"/>
    <w:rsid w:val="005A54C3"/>
    <w:rsid w:val="005B4C7D"/>
    <w:rsid w:val="005B6679"/>
    <w:rsid w:val="005E00B3"/>
    <w:rsid w:val="005E2D1E"/>
    <w:rsid w:val="006043FB"/>
    <w:rsid w:val="00607227"/>
    <w:rsid w:val="006109F7"/>
    <w:rsid w:val="00647814"/>
    <w:rsid w:val="00654598"/>
    <w:rsid w:val="00675447"/>
    <w:rsid w:val="0067795B"/>
    <w:rsid w:val="00683D0C"/>
    <w:rsid w:val="0069192D"/>
    <w:rsid w:val="006A5FFA"/>
    <w:rsid w:val="006B67C0"/>
    <w:rsid w:val="006B7AB8"/>
    <w:rsid w:val="006C0F51"/>
    <w:rsid w:val="006D18F6"/>
    <w:rsid w:val="006D428E"/>
    <w:rsid w:val="00723577"/>
    <w:rsid w:val="0072682D"/>
    <w:rsid w:val="00736440"/>
    <w:rsid w:val="00737875"/>
    <w:rsid w:val="00740A3F"/>
    <w:rsid w:val="00741880"/>
    <w:rsid w:val="007555AD"/>
    <w:rsid w:val="00775ED9"/>
    <w:rsid w:val="0078157B"/>
    <w:rsid w:val="007A5746"/>
    <w:rsid w:val="007A7A8B"/>
    <w:rsid w:val="007B0F70"/>
    <w:rsid w:val="007B6511"/>
    <w:rsid w:val="007B68EC"/>
    <w:rsid w:val="007E0EF5"/>
    <w:rsid w:val="007E3C6A"/>
    <w:rsid w:val="007E667B"/>
    <w:rsid w:val="007F0190"/>
    <w:rsid w:val="00804ADD"/>
    <w:rsid w:val="00822B3A"/>
    <w:rsid w:val="00824208"/>
    <w:rsid w:val="008308A0"/>
    <w:rsid w:val="00834CFD"/>
    <w:rsid w:val="00852D43"/>
    <w:rsid w:val="00865726"/>
    <w:rsid w:val="008815EE"/>
    <w:rsid w:val="00883A5C"/>
    <w:rsid w:val="008A22E9"/>
    <w:rsid w:val="008B0273"/>
    <w:rsid w:val="008B43B1"/>
    <w:rsid w:val="008C465F"/>
    <w:rsid w:val="008C5949"/>
    <w:rsid w:val="008F51E2"/>
    <w:rsid w:val="00901EBC"/>
    <w:rsid w:val="00903048"/>
    <w:rsid w:val="009078FF"/>
    <w:rsid w:val="00914006"/>
    <w:rsid w:val="00942B23"/>
    <w:rsid w:val="009457C8"/>
    <w:rsid w:val="00953FFE"/>
    <w:rsid w:val="00964F7C"/>
    <w:rsid w:val="009703AF"/>
    <w:rsid w:val="00974174"/>
    <w:rsid w:val="009741D1"/>
    <w:rsid w:val="00974C28"/>
    <w:rsid w:val="00976E37"/>
    <w:rsid w:val="009A3B4A"/>
    <w:rsid w:val="009B713E"/>
    <w:rsid w:val="009C5F63"/>
    <w:rsid w:val="009F5C57"/>
    <w:rsid w:val="009F7856"/>
    <w:rsid w:val="00A10BA1"/>
    <w:rsid w:val="00A165AB"/>
    <w:rsid w:val="00A174CC"/>
    <w:rsid w:val="00A2357C"/>
    <w:rsid w:val="00A328B4"/>
    <w:rsid w:val="00A43EA7"/>
    <w:rsid w:val="00A443CA"/>
    <w:rsid w:val="00A63FC1"/>
    <w:rsid w:val="00A77B8E"/>
    <w:rsid w:val="00A82FBB"/>
    <w:rsid w:val="00AA4711"/>
    <w:rsid w:val="00AD201A"/>
    <w:rsid w:val="00AD2884"/>
    <w:rsid w:val="00AD5A3A"/>
    <w:rsid w:val="00AD759B"/>
    <w:rsid w:val="00AE2E79"/>
    <w:rsid w:val="00AE528C"/>
    <w:rsid w:val="00AF4998"/>
    <w:rsid w:val="00B03B7F"/>
    <w:rsid w:val="00B1187F"/>
    <w:rsid w:val="00B214DD"/>
    <w:rsid w:val="00B35CC8"/>
    <w:rsid w:val="00B47589"/>
    <w:rsid w:val="00B83730"/>
    <w:rsid w:val="00BD6C0B"/>
    <w:rsid w:val="00BD7967"/>
    <w:rsid w:val="00BE4F5A"/>
    <w:rsid w:val="00C55633"/>
    <w:rsid w:val="00C8775F"/>
    <w:rsid w:val="00C95FB7"/>
    <w:rsid w:val="00CD2C82"/>
    <w:rsid w:val="00CF59EA"/>
    <w:rsid w:val="00CF7806"/>
    <w:rsid w:val="00D04287"/>
    <w:rsid w:val="00D062BE"/>
    <w:rsid w:val="00D10857"/>
    <w:rsid w:val="00D13AD5"/>
    <w:rsid w:val="00D23567"/>
    <w:rsid w:val="00D46663"/>
    <w:rsid w:val="00D77E1C"/>
    <w:rsid w:val="00D971FA"/>
    <w:rsid w:val="00DD58AA"/>
    <w:rsid w:val="00DE01F5"/>
    <w:rsid w:val="00E034BE"/>
    <w:rsid w:val="00E17B7B"/>
    <w:rsid w:val="00E203D7"/>
    <w:rsid w:val="00E267B4"/>
    <w:rsid w:val="00E37077"/>
    <w:rsid w:val="00E41927"/>
    <w:rsid w:val="00E50727"/>
    <w:rsid w:val="00E55792"/>
    <w:rsid w:val="00E80BBD"/>
    <w:rsid w:val="00E863D4"/>
    <w:rsid w:val="00E969AE"/>
    <w:rsid w:val="00EA5E6D"/>
    <w:rsid w:val="00ED4569"/>
    <w:rsid w:val="00EE484F"/>
    <w:rsid w:val="00EE76DF"/>
    <w:rsid w:val="00EF2448"/>
    <w:rsid w:val="00F110F7"/>
    <w:rsid w:val="00F62692"/>
    <w:rsid w:val="00F66A2B"/>
    <w:rsid w:val="00F711CE"/>
    <w:rsid w:val="00F74510"/>
    <w:rsid w:val="00F9028E"/>
    <w:rsid w:val="00F911F1"/>
    <w:rsid w:val="00F943F9"/>
    <w:rsid w:val="00FA1DC3"/>
    <w:rsid w:val="00FB300C"/>
    <w:rsid w:val="00FC2269"/>
    <w:rsid w:val="00FF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578D2"/>
  <w15:docId w15:val="{E5A7C67D-C67A-514A-969E-A3FDEE91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05B35"/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semiHidden/>
    <w:qFormat/>
    <w:rsid w:val="00F05B35"/>
    <w:rPr>
      <w:rFonts w:ascii="Times" w:eastAsia="Times" w:hAnsi="Times" w:cs="Times New Roman"/>
      <w:szCs w:val="20"/>
      <w:lang w:val="en-US" w:eastAsia="en-GB"/>
    </w:rPr>
  </w:style>
  <w:style w:type="character" w:customStyle="1" w:styleId="InternetLink">
    <w:name w:val="Internet Link"/>
    <w:rsid w:val="00F05B35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C696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refsource">
    <w:name w:val="refsource"/>
    <w:basedOn w:val="DefaultParagraphFont"/>
    <w:qFormat/>
    <w:rsid w:val="006C6960"/>
  </w:style>
  <w:style w:type="character" w:customStyle="1" w:styleId="HeaderChar">
    <w:name w:val="Header Char"/>
    <w:basedOn w:val="DefaultParagraphFont"/>
    <w:link w:val="Head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4609D1"/>
    <w:rPr>
      <w:rFonts w:ascii="Times New Roman" w:eastAsia="Times New Roman" w:hAnsi="Times New Roman" w:cs="Times New Roman"/>
      <w:lang w:val="en-US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odyTextIndent">
    <w:name w:val="Body Text Indent"/>
    <w:basedOn w:val="Normal"/>
    <w:link w:val="BodyTextIndentChar"/>
    <w:semiHidden/>
    <w:rsid w:val="00F05B3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C6960"/>
    <w:rPr>
      <w:sz w:val="18"/>
      <w:szCs w:val="18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09D1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uiPriority w:val="99"/>
    <w:unhideWhenUsed/>
    <w:rsid w:val="004609D1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39"/>
    <w:rsid w:val="00F0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nhideWhenUsed/>
    <w:rsid w:val="00437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379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797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2682D"/>
    <w:rPr>
      <w:rFonts w:ascii="Times New Roman" w:eastAsia="Times New Roman" w:hAnsi="Times New Roman" w:cs="Times New Roman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A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AD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8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v.global/s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mart.krupovic@pasteu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ifan.zhou@pasteur.fr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41DA-E478-4434-A4CA-A2F068AF9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2357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Simmonds</dc:creator>
  <dc:description/>
  <cp:lastModifiedBy>Peter Simmonds</cp:lastModifiedBy>
  <cp:revision>10</cp:revision>
  <dcterms:created xsi:type="dcterms:W3CDTF">2025-07-03T13:19:00Z</dcterms:created>
  <dcterms:modified xsi:type="dcterms:W3CDTF">2025-07-10T12:15:00Z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