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D4B96E" w14:textId="77777777" w:rsidR="00E962B7" w:rsidRDefault="00E962B7" w:rsidP="00E962B7">
      <w:pPr>
        <w:pStyle w:val="Caption"/>
        <w:jc w:val="center"/>
        <w:rPr>
          <w:i w:val="0"/>
          <w:iCs w:val="0"/>
        </w:rPr>
      </w:pPr>
      <w:bookmarkStart w:id="0" w:name="_Ref167443121"/>
      <w:r w:rsidRPr="00623F51">
        <w:rPr>
          <w:i w:val="0"/>
          <w:iCs w:val="0"/>
          <w:noProof/>
        </w:rPr>
        <w:drawing>
          <wp:inline distT="0" distB="0" distL="0" distR="0" wp14:anchorId="6CDAA2D5" wp14:editId="35FC3BF2">
            <wp:extent cx="3504504" cy="3350362"/>
            <wp:effectExtent l="0" t="0" r="1270" b="2540"/>
            <wp:docPr id="1947971111" name="Picture 1" descr="A graph with numbers and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971111" name="Picture 1" descr="A graph with numbers and dots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7678" cy="336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45DA9032" w14:textId="1C294879" w:rsidR="00E962B7" w:rsidRDefault="00E962B7" w:rsidP="00E962B7">
      <w:pPr>
        <w:pStyle w:val="Caption"/>
        <w:rPr>
          <w:i w:val="0"/>
          <w:iCs w:val="0"/>
        </w:rPr>
      </w:pPr>
      <w:r>
        <w:rPr>
          <w:i w:val="0"/>
          <w:iCs w:val="0"/>
        </w:rPr>
        <w:t xml:space="preserve">Figure </w:t>
      </w:r>
      <w:r>
        <w:rPr>
          <w:i w:val="0"/>
          <w:iCs w:val="0"/>
        </w:rPr>
        <w:t>1</w:t>
      </w:r>
      <w:r>
        <w:rPr>
          <w:i w:val="0"/>
          <w:iCs w:val="0"/>
        </w:rPr>
        <w:t>.</w:t>
      </w:r>
      <w:r w:rsidRPr="007E28E5">
        <w:rPr>
          <w:i w:val="0"/>
          <w:iCs w:val="0"/>
        </w:rPr>
        <w:t xml:space="preserve"> Genome size (</w:t>
      </w:r>
      <w:proofErr w:type="spellStart"/>
      <w:r w:rsidRPr="007E28E5">
        <w:rPr>
          <w:i w:val="0"/>
          <w:iCs w:val="0"/>
        </w:rPr>
        <w:t>kbp</w:t>
      </w:r>
      <w:proofErr w:type="spellEnd"/>
      <w:r w:rsidRPr="007E28E5">
        <w:rPr>
          <w:i w:val="0"/>
          <w:iCs w:val="0"/>
        </w:rPr>
        <w:t xml:space="preserve">) plotted against G+C content (%) for a representative set of </w:t>
      </w:r>
      <w:proofErr w:type="spellStart"/>
      <w:r w:rsidRPr="007E28E5">
        <w:t>Iridoviridae</w:t>
      </w:r>
      <w:proofErr w:type="spellEnd"/>
      <w:r w:rsidRPr="007E28E5">
        <w:rPr>
          <w:i w:val="0"/>
          <w:iCs w:val="0"/>
        </w:rPr>
        <w:t xml:space="preserve"> genomes. </w:t>
      </w:r>
      <w:proofErr w:type="spellStart"/>
      <w:r w:rsidRPr="007E28E5">
        <w:t>Alphairidoviri</w:t>
      </w:r>
      <w:r>
        <w:t>n</w:t>
      </w:r>
      <w:r w:rsidRPr="007E28E5">
        <w:t>ae</w:t>
      </w:r>
      <w:proofErr w:type="spellEnd"/>
      <w:r w:rsidRPr="007E28E5">
        <w:rPr>
          <w:i w:val="0"/>
          <w:iCs w:val="0"/>
        </w:rPr>
        <w:t xml:space="preserve"> are represented by squares, with genera within this subfamily represented by different colours. </w:t>
      </w:r>
      <w:r w:rsidRPr="007E28E5">
        <w:t>Betairidoviri</w:t>
      </w:r>
      <w:r>
        <w:t>n</w:t>
      </w:r>
      <w:r w:rsidRPr="007E28E5">
        <w:t>ae</w:t>
      </w:r>
      <w:r w:rsidRPr="007E28E5">
        <w:rPr>
          <w:i w:val="0"/>
          <w:iCs w:val="0"/>
        </w:rPr>
        <w:t xml:space="preserve"> are represented by circles, with the four defined genera within this subfamily, and the three species within no assigned genus (including BiIV1), represented by different colours. Within the </w:t>
      </w:r>
      <w:r w:rsidRPr="007E28E5">
        <w:t>Betairidoviri</w:t>
      </w:r>
      <w:r>
        <w:t>n</w:t>
      </w:r>
      <w:r w:rsidRPr="007E28E5">
        <w:t>ae</w:t>
      </w:r>
      <w:r w:rsidRPr="007E28E5">
        <w:rPr>
          <w:i w:val="0"/>
          <w:iCs w:val="0"/>
        </w:rPr>
        <w:t xml:space="preserve"> subfamily, Anopheles </w:t>
      </w:r>
      <w:proofErr w:type="spellStart"/>
      <w:r w:rsidRPr="007E28E5">
        <w:rPr>
          <w:i w:val="0"/>
          <w:iCs w:val="0"/>
        </w:rPr>
        <w:t>minimus</w:t>
      </w:r>
      <w:proofErr w:type="spellEnd"/>
      <w:r w:rsidRPr="007E28E5">
        <w:rPr>
          <w:i w:val="0"/>
          <w:iCs w:val="0"/>
        </w:rPr>
        <w:t xml:space="preserve"> iridovirus (accession number KF938901) has the smallest genome size at 163,023 </w:t>
      </w:r>
      <w:proofErr w:type="spellStart"/>
      <w:r w:rsidRPr="007E28E5">
        <w:rPr>
          <w:i w:val="0"/>
          <w:iCs w:val="0"/>
        </w:rPr>
        <w:t>kbp</w:t>
      </w:r>
      <w:proofErr w:type="spellEnd"/>
      <w:r w:rsidRPr="007E28E5">
        <w:rPr>
          <w:i w:val="0"/>
          <w:iCs w:val="0"/>
        </w:rPr>
        <w:t xml:space="preserve">, and Daphnia iridovirus 1 (accession number LS484712) has the largest at 288,858 </w:t>
      </w:r>
      <w:proofErr w:type="spellStart"/>
      <w:r w:rsidRPr="007E28E5">
        <w:rPr>
          <w:i w:val="0"/>
          <w:iCs w:val="0"/>
        </w:rPr>
        <w:t>kbp</w:t>
      </w:r>
      <w:proofErr w:type="spellEnd"/>
      <w:r w:rsidRPr="007E28E5">
        <w:rPr>
          <w:i w:val="0"/>
          <w:iCs w:val="0"/>
        </w:rPr>
        <w:t xml:space="preserve">. G+C content within </w:t>
      </w:r>
      <w:r w:rsidRPr="007E28E5">
        <w:t>Betairidoviri</w:t>
      </w:r>
      <w:r>
        <w:t>n</w:t>
      </w:r>
      <w:r w:rsidRPr="007E28E5">
        <w:t>ae</w:t>
      </w:r>
      <w:r w:rsidRPr="007E28E5">
        <w:rPr>
          <w:i w:val="0"/>
          <w:iCs w:val="0"/>
        </w:rPr>
        <w:t xml:space="preserve"> ranges between 27.75% (cricket iridovirus – accession number OK181107) and 48.75% (carnivorous sponge associated iridovirus – accession number ON887238).</w:t>
      </w:r>
    </w:p>
    <w:p w14:paraId="40CFBA26" w14:textId="6489F2C8" w:rsidR="00331BD6" w:rsidRDefault="00DC6F72" w:rsidP="00DC6F72">
      <w:r>
        <w:rPr>
          <w:noProof/>
        </w:rPr>
        <w:drawing>
          <wp:anchor distT="0" distB="0" distL="114300" distR="114300" simplePos="0" relativeHeight="251658240" behindDoc="0" locked="0" layoutInCell="1" allowOverlap="1" wp14:anchorId="3A78B318" wp14:editId="6B15F622">
            <wp:simplePos x="0" y="0"/>
            <wp:positionH relativeFrom="margin">
              <wp:align>center</wp:align>
            </wp:positionH>
            <wp:positionV relativeFrom="paragraph">
              <wp:posOffset>332435</wp:posOffset>
            </wp:positionV>
            <wp:extent cx="7396603" cy="2399386"/>
            <wp:effectExtent l="0" t="0" r="0" b="1270"/>
            <wp:wrapTopAndBottom/>
            <wp:docPr id="9050582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603" cy="239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52AE7" w14:textId="009EBB74" w:rsidR="00331BD6" w:rsidRPr="00303626" w:rsidRDefault="00331BD6" w:rsidP="00331BD6">
      <w:pPr>
        <w:pStyle w:val="Caption"/>
      </w:pPr>
      <w:r>
        <w:rPr>
          <w:i w:val="0"/>
          <w:iCs w:val="0"/>
        </w:rPr>
        <w:t xml:space="preserve">Figure </w:t>
      </w:r>
      <w:r>
        <w:rPr>
          <w:i w:val="0"/>
          <w:iCs w:val="0"/>
        </w:rPr>
        <w:t>2</w:t>
      </w:r>
      <w:r>
        <w:rPr>
          <w:i w:val="0"/>
          <w:iCs w:val="0"/>
        </w:rPr>
        <w:t>.</w:t>
      </w:r>
      <w:r w:rsidRPr="007E28E5">
        <w:rPr>
          <w:i w:val="0"/>
          <w:iCs w:val="0"/>
          <w:sz w:val="20"/>
          <w:szCs w:val="20"/>
        </w:rPr>
        <w:t xml:space="preserve"> </w:t>
      </w:r>
      <w:r w:rsidRPr="007E28E5">
        <w:rPr>
          <w:i w:val="0"/>
          <w:iCs w:val="0"/>
        </w:rPr>
        <w:t>Bayesian consensus tree constructed from a concatenated multiple amino acid alignment of major capsid protein, DNA-directed RNA polymerase II subunit Rpb2, putative A32-like packaging ATPase, putative CTD phosphatase-like protein, putative helicase protein, and putative transcription elongation factor S-II-like protein from BiIV1, 113 other</w:t>
      </w:r>
      <w:r w:rsidRPr="00610089">
        <w:t xml:space="preserve"> </w:t>
      </w:r>
      <w:proofErr w:type="spellStart"/>
      <w:r w:rsidRPr="00610089">
        <w:t>Iridoviridae</w:t>
      </w:r>
      <w:proofErr w:type="spellEnd"/>
      <w:r w:rsidRPr="00610089">
        <w:t xml:space="preserve">, </w:t>
      </w:r>
      <w:r w:rsidRPr="007E28E5">
        <w:rPr>
          <w:i w:val="0"/>
          <w:iCs w:val="0"/>
        </w:rPr>
        <w:t>five</w:t>
      </w:r>
      <w:r w:rsidRPr="00610089">
        <w:t xml:space="preserve"> </w:t>
      </w:r>
      <w:proofErr w:type="spellStart"/>
      <w:r w:rsidRPr="00610089">
        <w:t>Ascoviridae</w:t>
      </w:r>
      <w:proofErr w:type="spellEnd"/>
      <w:r w:rsidRPr="00610089">
        <w:t xml:space="preserve"> </w:t>
      </w:r>
      <w:r w:rsidRPr="007E28E5">
        <w:rPr>
          <w:i w:val="0"/>
          <w:iCs w:val="0"/>
        </w:rPr>
        <w:t>and two</w:t>
      </w:r>
      <w:r w:rsidRPr="00610089">
        <w:t xml:space="preserve"> </w:t>
      </w:r>
      <w:proofErr w:type="spellStart"/>
      <w:r w:rsidRPr="00610089">
        <w:t>Marseilleviridae</w:t>
      </w:r>
      <w:proofErr w:type="spellEnd"/>
      <w:r w:rsidRPr="00610089">
        <w:t xml:space="preserve">. </w:t>
      </w:r>
      <w:r w:rsidRPr="007E28E5">
        <w:rPr>
          <w:i w:val="0"/>
          <w:iCs w:val="0"/>
        </w:rPr>
        <w:t>The tree is rooted to the</w:t>
      </w:r>
      <w:r w:rsidRPr="00610089">
        <w:t xml:space="preserve"> </w:t>
      </w:r>
      <w:proofErr w:type="spellStart"/>
      <w:r w:rsidRPr="00610089">
        <w:t>Marseilleviridae</w:t>
      </w:r>
      <w:proofErr w:type="spellEnd"/>
      <w:r w:rsidRPr="00610089">
        <w:t xml:space="preserve"> </w:t>
      </w:r>
      <w:r w:rsidRPr="007E28E5">
        <w:rPr>
          <w:i w:val="0"/>
          <w:iCs w:val="0"/>
        </w:rPr>
        <w:t>clade. Branch labels denote posterior probabilities, with black circles used when posterior probabilit</w:t>
      </w:r>
      <w:r>
        <w:rPr>
          <w:i w:val="0"/>
          <w:iCs w:val="0"/>
        </w:rPr>
        <w:t>y</w:t>
      </w:r>
      <w:r w:rsidRPr="007E28E5">
        <w:rPr>
          <w:i w:val="0"/>
          <w:iCs w:val="0"/>
        </w:rPr>
        <w:t xml:space="preserve"> = 1.</w:t>
      </w:r>
    </w:p>
    <w:p w14:paraId="7D4A0C87" w14:textId="70F54063" w:rsidR="007C7D5A" w:rsidRDefault="0080059B" w:rsidP="007C7D5A">
      <w:pPr>
        <w:pStyle w:val="Caption"/>
        <w:rPr>
          <w:i w:val="0"/>
          <w:iCs w:val="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91E16E8" wp14:editId="77D2D448">
            <wp:simplePos x="0" y="0"/>
            <wp:positionH relativeFrom="margin">
              <wp:posOffset>-539370</wp:posOffset>
            </wp:positionH>
            <wp:positionV relativeFrom="paragraph">
              <wp:posOffset>5711487</wp:posOffset>
            </wp:positionV>
            <wp:extent cx="6758299" cy="2208810"/>
            <wp:effectExtent l="0" t="0" r="5080" b="1270"/>
            <wp:wrapTopAndBottom/>
            <wp:docPr id="1815930652" name="Picture 5" descr="A close-up of a microsco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930652" name="Picture 5" descr="A close-up of a microscop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299" cy="22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7D5A">
        <w:rPr>
          <w:i w:val="0"/>
          <w:iCs w:val="0"/>
          <w:noProof/>
        </w:rPr>
        <w:drawing>
          <wp:inline distT="0" distB="0" distL="0" distR="0" wp14:anchorId="1CCF8CE8" wp14:editId="591DAFE8">
            <wp:extent cx="5727700" cy="4321810"/>
            <wp:effectExtent l="0" t="0" r="6350" b="2540"/>
            <wp:docPr id="1198739493" name="Picture 4" descr="A collage of images of cel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739493" name="Picture 4" descr="A collage of images of cell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D5A">
        <w:rPr>
          <w:i w:val="0"/>
          <w:iCs w:val="0"/>
        </w:rPr>
        <w:t xml:space="preserve">Figure </w:t>
      </w:r>
      <w:r w:rsidR="007C7D5A">
        <w:rPr>
          <w:i w:val="0"/>
          <w:iCs w:val="0"/>
        </w:rPr>
        <w:t>3</w:t>
      </w:r>
      <w:r w:rsidR="007C7D5A">
        <w:rPr>
          <w:i w:val="0"/>
          <w:iCs w:val="0"/>
        </w:rPr>
        <w:t>.</w:t>
      </w:r>
      <w:r w:rsidR="007C7D5A" w:rsidRPr="00381F13">
        <w:rPr>
          <w:i w:val="0"/>
          <w:iCs w:val="0"/>
        </w:rPr>
        <w:t xml:space="preserve"> Electron micrographs of a common cockle, </w:t>
      </w:r>
      <w:r w:rsidR="007C7D5A" w:rsidRPr="00381F13">
        <w:t>Cerastoderma edule</w:t>
      </w:r>
      <w:r w:rsidR="007C7D5A" w:rsidRPr="00381F13">
        <w:rPr>
          <w:i w:val="0"/>
          <w:iCs w:val="0"/>
        </w:rPr>
        <w:t>, infected with bivalve iridovirus 1 (BiIV1). (A) Two host cells infected with BiIV1, with the nuclei, N, showing condensed chromatin (CC), and mature and immature BiIV1 virions in the cytoplasm (</w:t>
      </w:r>
      <w:proofErr w:type="spellStart"/>
      <w:r w:rsidR="007C7D5A" w:rsidRPr="00381F13">
        <w:rPr>
          <w:i w:val="0"/>
          <w:iCs w:val="0"/>
        </w:rPr>
        <w:t>Cyt</w:t>
      </w:r>
      <w:proofErr w:type="spellEnd"/>
      <w:r w:rsidR="007C7D5A" w:rsidRPr="00381F13">
        <w:rPr>
          <w:i w:val="0"/>
          <w:iCs w:val="0"/>
        </w:rPr>
        <w:t xml:space="preserve">). The left cell has a large electron-lucent assembly site (*) containing a few mature virions and many </w:t>
      </w:r>
      <w:proofErr w:type="gramStart"/>
      <w:r w:rsidR="007C7D5A" w:rsidRPr="00381F13">
        <w:rPr>
          <w:i w:val="0"/>
          <w:iCs w:val="0"/>
        </w:rPr>
        <w:t>immature</w:t>
      </w:r>
      <w:proofErr w:type="gramEnd"/>
      <w:r w:rsidR="007C7D5A" w:rsidRPr="00381F13">
        <w:rPr>
          <w:i w:val="0"/>
          <w:iCs w:val="0"/>
        </w:rPr>
        <w:t xml:space="preserve">, developing virions. The right cell contains a </w:t>
      </w:r>
      <w:proofErr w:type="spellStart"/>
      <w:r w:rsidR="007C7D5A" w:rsidRPr="00381F13">
        <w:rPr>
          <w:i w:val="0"/>
          <w:iCs w:val="0"/>
        </w:rPr>
        <w:t>paracrystalline</w:t>
      </w:r>
      <w:proofErr w:type="spellEnd"/>
      <w:r w:rsidR="007C7D5A" w:rsidRPr="00381F13">
        <w:rPr>
          <w:i w:val="0"/>
          <w:iCs w:val="0"/>
        </w:rPr>
        <w:t xml:space="preserve"> array of virus particles. Scale bar = 2 µm. (B) Higher magnification of the right cell, with numerous mature virions (black arrowheads), a few </w:t>
      </w:r>
      <w:proofErr w:type="gramStart"/>
      <w:r w:rsidR="007C7D5A" w:rsidRPr="00381F13">
        <w:rPr>
          <w:i w:val="0"/>
          <w:iCs w:val="0"/>
        </w:rPr>
        <w:t>immature</w:t>
      </w:r>
      <w:proofErr w:type="gramEnd"/>
      <w:r w:rsidR="007C7D5A" w:rsidRPr="00381F13">
        <w:rPr>
          <w:i w:val="0"/>
          <w:iCs w:val="0"/>
        </w:rPr>
        <w:t>, developing virions (white arrowheads), and putative viral DNA prior to packing (white arrow). Scale bar = 500 nm. (C) Higher magnification of the left cell, with mature vir</w:t>
      </w:r>
      <w:r w:rsidR="007C7D5A">
        <w:rPr>
          <w:i w:val="0"/>
          <w:iCs w:val="0"/>
        </w:rPr>
        <w:t>i</w:t>
      </w:r>
      <w:r w:rsidR="007C7D5A" w:rsidRPr="00381F13">
        <w:rPr>
          <w:i w:val="0"/>
          <w:iCs w:val="0"/>
        </w:rPr>
        <w:t>ons (black arrowheads) and immature, empty and developing capsids (white arrowheads). Scale bar = 500 nm. (D) High magnification of mature vir</w:t>
      </w:r>
      <w:r w:rsidR="007C7D5A">
        <w:rPr>
          <w:i w:val="0"/>
          <w:iCs w:val="0"/>
        </w:rPr>
        <w:t>i</w:t>
      </w:r>
      <w:r w:rsidR="007C7D5A" w:rsidRPr="00381F13">
        <w:rPr>
          <w:i w:val="0"/>
          <w:iCs w:val="0"/>
        </w:rPr>
        <w:t xml:space="preserve">ons in a </w:t>
      </w:r>
      <w:proofErr w:type="spellStart"/>
      <w:r w:rsidR="007C7D5A" w:rsidRPr="00381F13">
        <w:rPr>
          <w:i w:val="0"/>
          <w:iCs w:val="0"/>
        </w:rPr>
        <w:t>paracrystalline</w:t>
      </w:r>
      <w:proofErr w:type="spellEnd"/>
      <w:r w:rsidR="007C7D5A" w:rsidRPr="00381F13">
        <w:rPr>
          <w:i w:val="0"/>
          <w:iCs w:val="0"/>
        </w:rPr>
        <w:t xml:space="preserve"> array, showing detail of the envelope, intermediate amorphous layer, and electron dense core of BiIV1. Scale bar = 500 nm.</w:t>
      </w:r>
    </w:p>
    <w:p w14:paraId="16CAB212" w14:textId="22654155" w:rsidR="007C7D5A" w:rsidRPr="002445C0" w:rsidRDefault="007C7D5A" w:rsidP="007C7D5A">
      <w:r w:rsidRPr="002445C0">
        <w:rPr>
          <w:sz w:val="18"/>
          <w:szCs w:val="18"/>
        </w:rPr>
        <w:t>Fi</w:t>
      </w:r>
      <w:r>
        <w:rPr>
          <w:sz w:val="18"/>
          <w:szCs w:val="18"/>
        </w:rPr>
        <w:t xml:space="preserve">gure </w:t>
      </w:r>
      <w:r>
        <w:rPr>
          <w:sz w:val="18"/>
          <w:szCs w:val="18"/>
        </w:rPr>
        <w:t>4</w:t>
      </w:r>
      <w:r>
        <w:rPr>
          <w:sz w:val="18"/>
          <w:szCs w:val="18"/>
        </w:rPr>
        <w:t>.</w:t>
      </w:r>
      <w:r w:rsidRPr="002445C0">
        <w:rPr>
          <w:sz w:val="18"/>
          <w:szCs w:val="18"/>
        </w:rPr>
        <w:t xml:space="preserve"> Histopathology images of </w:t>
      </w:r>
      <w:r w:rsidRPr="007E28E5">
        <w:rPr>
          <w:i/>
          <w:iCs/>
          <w:sz w:val="18"/>
          <w:szCs w:val="18"/>
        </w:rPr>
        <w:t>Cerastoderma edule</w:t>
      </w:r>
      <w:r w:rsidRPr="002445C0">
        <w:rPr>
          <w:sz w:val="18"/>
          <w:szCs w:val="18"/>
        </w:rPr>
        <w:t xml:space="preserve"> infected with bivalve iridovirus 1 (BiIV1). A) Infiltrating haemocytes within the connective tissues surrounding the digestive gland tubules (DG) were observed to possess </w:t>
      </w:r>
      <w:r w:rsidRPr="002445C0">
        <w:rPr>
          <w:sz w:val="18"/>
          <w:szCs w:val="18"/>
        </w:rPr>
        <w:t>basophilic</w:t>
      </w:r>
      <w:r w:rsidRPr="002445C0">
        <w:rPr>
          <w:sz w:val="18"/>
          <w:szCs w:val="18"/>
        </w:rPr>
        <w:t xml:space="preserve"> inclusions (arrowheads) in the cytoplasm. Scale bar = 50 </w:t>
      </w:r>
      <w:r w:rsidRPr="002445C0">
        <w:rPr>
          <w:rFonts w:cstheme="minorHAnsi"/>
          <w:sz w:val="18"/>
          <w:szCs w:val="18"/>
        </w:rPr>
        <w:t>µ</w:t>
      </w:r>
      <w:r w:rsidRPr="002445C0">
        <w:rPr>
          <w:sz w:val="18"/>
          <w:szCs w:val="18"/>
        </w:rPr>
        <w:t xml:space="preserve">m. B) Higher magnification of haemocytes with basophilic inclusions (black arrowheads) within the cytoplasm. Nuclei of the affected cells also showed marginated and condensed chromatin (white arrowheads).  Scale bar = 50 </w:t>
      </w:r>
      <w:r w:rsidRPr="002445C0">
        <w:rPr>
          <w:rFonts w:cstheme="minorHAnsi"/>
          <w:sz w:val="18"/>
          <w:szCs w:val="18"/>
        </w:rPr>
        <w:t>µ</w:t>
      </w:r>
      <w:r w:rsidRPr="002445C0">
        <w:rPr>
          <w:sz w:val="18"/>
          <w:szCs w:val="18"/>
        </w:rPr>
        <w:t xml:space="preserve">m. </w:t>
      </w:r>
    </w:p>
    <w:sectPr w:rsidR="007C7D5A" w:rsidRPr="002445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2B7"/>
    <w:rsid w:val="00066A7C"/>
    <w:rsid w:val="00331BD6"/>
    <w:rsid w:val="003B2262"/>
    <w:rsid w:val="00461F3A"/>
    <w:rsid w:val="004848C4"/>
    <w:rsid w:val="005F08B2"/>
    <w:rsid w:val="00702681"/>
    <w:rsid w:val="007C7D5A"/>
    <w:rsid w:val="007D1C18"/>
    <w:rsid w:val="0080059B"/>
    <w:rsid w:val="00831A20"/>
    <w:rsid w:val="0086774D"/>
    <w:rsid w:val="008731D7"/>
    <w:rsid w:val="008F1A66"/>
    <w:rsid w:val="009638B8"/>
    <w:rsid w:val="009A28AD"/>
    <w:rsid w:val="00BC1C4B"/>
    <w:rsid w:val="00BC7A37"/>
    <w:rsid w:val="00DB52C6"/>
    <w:rsid w:val="00DC6F72"/>
    <w:rsid w:val="00E962B7"/>
    <w:rsid w:val="00F920D9"/>
    <w:rsid w:val="00F97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D45066"/>
  <w15:chartTrackingRefBased/>
  <w15:docId w15:val="{B9347A34-BF99-4510-9620-D98B1DF9F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62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62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62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62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62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62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62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62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62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62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62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62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62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62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62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62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62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62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962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62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62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62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962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62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62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62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62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62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62B7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E962B7"/>
    <w:pPr>
      <w:spacing w:after="200" w:line="240" w:lineRule="auto"/>
      <w:contextualSpacing/>
      <w:jc w:val="both"/>
    </w:pPr>
    <w:rPr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24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1054</TotalTime>
  <Pages>2</Pages>
  <Words>445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Chantelle Hooper (Cefas)</dc:creator>
  <cp:keywords/>
  <dc:description/>
  <cp:lastModifiedBy>Chantelle Hooper (Cefas)</cp:lastModifiedBy>
  <cp:revision>4</cp:revision>
  <dcterms:created xsi:type="dcterms:W3CDTF">2025-03-05T16:08:00Z</dcterms:created>
  <dcterms:modified xsi:type="dcterms:W3CDTF">2025-03-06T11:05:00Z</dcterms:modified>
</cp:coreProperties>
</file>