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B409AD8" w14:textId="77777777" w:rsidR="00C8233B" w:rsidRDefault="00C8233B"/>
    <w:p w14:paraId="5F396E33" w14:textId="5F0C7064" w:rsidR="00A174CC" w:rsidRDefault="00411BB1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A2CE8EC" w14:textId="77777777" w:rsidR="00A51BFA" w:rsidRPr="00A51BFA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Rename all species in the family to comply with the ICTV-mandated binomial</w:t>
            </w:r>
          </w:p>
          <w:p w14:paraId="693BF175" w14:textId="4FA93D02" w:rsidR="00E37077" w:rsidRPr="0054631E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format (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Nodamuvirales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A269C3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20B8B8B8" w:rsidR="00E37077" w:rsidRPr="00A51BFA" w:rsidRDefault="00A269C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  <w:lang w:val="de-DE"/>
              </w:rPr>
            </w:pPr>
            <w:r w:rsidRPr="00A269C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2025.004S.N.v1.Sinaivirus_2spren</w:t>
            </w:r>
          </w:p>
        </w:tc>
      </w:tr>
    </w:tbl>
    <w:p w14:paraId="227C6F3B" w14:textId="69D18DB4" w:rsidR="00590DF3" w:rsidRPr="00A51BFA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de-DE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977"/>
        <w:gridCol w:w="2268"/>
        <w:gridCol w:w="1106"/>
      </w:tblGrid>
      <w:tr w:rsidR="00CA3DC7" w14:paraId="37D6A616" w14:textId="77777777" w:rsidTr="00CA3DC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0E358FB4" w14:textId="653A64F8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CA3DC7" w14:paraId="0047ED2F" w14:textId="77777777" w:rsidTr="00E357DE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AE6E96" w14:textId="77777777" w:rsidR="00CA3DC7" w:rsidRPr="009A3B4A" w:rsidRDefault="00CA3DC7" w:rsidP="00CA3DC7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D54D1A" w14:textId="77777777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FBCBC4" w14:textId="2DD370DB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4F8A4" w14:textId="239D527C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838EA3" w14:textId="77777777" w:rsidR="00CA3DC7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4E03BBC9" w14:textId="6572191D" w:rsidR="00CA3DC7" w:rsidRPr="00AF4998" w:rsidRDefault="00CA3DC7" w:rsidP="00CA3DC7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357DE" w14:paraId="23526F7C" w14:textId="77777777" w:rsidTr="00E357DE">
        <w:tc>
          <w:tcPr>
            <w:tcW w:w="1838" w:type="dxa"/>
          </w:tcPr>
          <w:p w14:paraId="3B92263C" w14:textId="12F3D5D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Jens H</w:t>
            </w:r>
          </w:p>
        </w:tc>
        <w:tc>
          <w:tcPr>
            <w:tcW w:w="1134" w:type="dxa"/>
          </w:tcPr>
          <w:p w14:paraId="70D1A974" w14:textId="3E9413BB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Kuhn</w:t>
            </w:r>
          </w:p>
        </w:tc>
        <w:tc>
          <w:tcPr>
            <w:tcW w:w="2977" w:type="dxa"/>
          </w:tcPr>
          <w:p w14:paraId="365EC94B" w14:textId="5D9274E3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Frederick, Maryland, USA</w:t>
            </w:r>
          </w:p>
        </w:tc>
        <w:tc>
          <w:tcPr>
            <w:tcW w:w="2268" w:type="dxa"/>
          </w:tcPr>
          <w:p w14:paraId="6D5D095A" w14:textId="6E13DE0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jenshkuhn@comcast.net</w:t>
            </w:r>
          </w:p>
        </w:tc>
        <w:tc>
          <w:tcPr>
            <w:tcW w:w="1106" w:type="dxa"/>
            <w:vAlign w:val="center"/>
          </w:tcPr>
          <w:p w14:paraId="253CA9FF" w14:textId="5209E6C8" w:rsidR="00E357DE" w:rsidRDefault="00A31FEC" w:rsidP="00E357DE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A0210B1" w14:textId="77777777" w:rsidR="00E357DE" w:rsidRDefault="00E357DE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1382B4BD" w14:textId="732EEB3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DB9E87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6D8C145D" w:rsidR="00D062BE" w:rsidRDefault="0054631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BC527C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1D66F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5B83FC99" w:rsidR="0072682D" w:rsidRP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00FD30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E91EE4E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341D66C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3FCBF262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0426E3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55C7101" w:rsidR="003A18C5" w:rsidRPr="001D0007" w:rsidRDefault="003A18C5" w:rsidP="000426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B1E4D">
              <w:rPr>
                <w:rFonts w:ascii="Aptos" w:hAnsi="Aptos" w:cs="Arial"/>
                <w:bCs/>
                <w:sz w:val="20"/>
                <w:szCs w:val="20"/>
              </w:rPr>
              <w:t>20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/0</w:t>
            </w:r>
            <w:r w:rsidR="005A732E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5EC1B7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5BEFF6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3840A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519E451" w:rsidR="002955F6" w:rsidRDefault="002955F6">
      <w:pPr>
        <w:rPr>
          <w:rFonts w:ascii="Aptos" w:hAnsi="Aptos" w:cs="Arial"/>
          <w:color w:val="C00000"/>
          <w:sz w:val="20"/>
          <w:szCs w:val="20"/>
        </w:rPr>
      </w:pPr>
      <w:r>
        <w:rPr>
          <w:rFonts w:ascii="Aptos" w:hAnsi="Aptos" w:cs="Arial"/>
          <w:color w:val="C00000"/>
          <w:sz w:val="20"/>
          <w:szCs w:val="20"/>
        </w:rPr>
        <w:br w:type="page"/>
      </w:r>
    </w:p>
    <w:p w14:paraId="1D58BFF5" w14:textId="7777777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68C8F55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42E89F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2A31CE3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6075F094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365D37A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59B572C2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1803829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010F8CAD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79B5893" w:rsidR="00953FFE" w:rsidRDefault="003176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36980549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0B663A6F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52B3549" w:rsidR="00333392" w:rsidRPr="00220A26" w:rsidRDefault="00333392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bookmarkStart w:id="0" w:name="_Hlk191744689"/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E357DE" w:rsidRPr="009F7856" w14:paraId="622A8770" w14:textId="77777777" w:rsidTr="00A33FC8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CEB7EE5" w14:textId="22A0F861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apis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1700989" w14:textId="4FE1923B" w:rsidR="00E357DE" w:rsidRPr="00A5351F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 xml:space="preserve">the host genus, </w:t>
            </w:r>
            <w:r w:rsidR="00A5351F">
              <w:rPr>
                <w:rFonts w:ascii="Aptos" w:hAnsi="Aptos"/>
                <w:i/>
                <w:iCs/>
                <w:sz w:val="20"/>
                <w:szCs w:val="20"/>
              </w:rPr>
              <w:t>Apis</w:t>
            </w:r>
            <w:r w:rsidR="00A5351F">
              <w:rPr>
                <w:rFonts w:ascii="Aptos" w:hAnsi="Aptos"/>
                <w:sz w:val="20"/>
                <w:szCs w:val="20"/>
              </w:rPr>
              <w:t xml:space="preserve"> (true honey bees)</w:t>
            </w:r>
          </w:p>
        </w:tc>
      </w:tr>
      <w:tr w:rsidR="00E357DE" w:rsidRPr="009F7856" w14:paraId="025B60B1" w14:textId="77777777" w:rsidTr="00D11C93">
        <w:trPr>
          <w:trHeight w:val="71"/>
        </w:trPr>
        <w:tc>
          <w:tcPr>
            <w:tcW w:w="2547" w:type="dxa"/>
            <w:shd w:val="clear" w:color="auto" w:fill="auto"/>
          </w:tcPr>
          <w:p w14:paraId="309D248C" w14:textId="5020F46A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sinaiense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178FCA94" w14:textId="62E3BF06" w:rsidR="00E357DE" w:rsidRPr="002E0972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>Lake Sinai, North Dakota, USA, where Lake Sinai virus 2 was discovered in western honey bees</w:t>
            </w:r>
          </w:p>
        </w:tc>
      </w:tr>
      <w:bookmarkEnd w:id="0"/>
    </w:tbl>
    <w:p w14:paraId="664528E2" w14:textId="7C4720A4" w:rsidR="00BF517C" w:rsidRDefault="00BF517C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0426E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871065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30D95F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279937C6" w:rsidR="00DD58AA" w:rsidRPr="002E0972" w:rsidRDefault="00DD58AA" w:rsidP="00040CB0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8F1F00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607D5E">
        <w:trPr>
          <w:trHeight w:val="1408"/>
        </w:trPr>
        <w:tc>
          <w:tcPr>
            <w:tcW w:w="8926" w:type="dxa"/>
          </w:tcPr>
          <w:p w14:paraId="49C86DDB" w14:textId="09D584B4" w:rsidR="005E6530" w:rsidRPr="0053220F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  <w:bookmarkStart w:id="1" w:name="_Hlk184970407"/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292B3617" w14:textId="77777777" w:rsidR="005E6530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E8846C" w14:textId="17790029" w:rsidR="00CE69A4" w:rsidRPr="0077161B" w:rsidRDefault="005E6530" w:rsidP="00CE69A4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bookmarkEnd w:id="1"/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sz w:val="20"/>
                <w:szCs w:val="20"/>
              </w:rPr>
              <w:t>.</w:t>
            </w:r>
            <w:r w:rsidR="0077161B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3C87E70" w14:textId="1A2D1773" w:rsidR="005E6530" w:rsidRDefault="005E6530" w:rsidP="005E6530">
            <w:pPr>
              <w:rPr>
                <w:rFonts w:ascii="Aptos" w:hAnsi="Aptos"/>
                <w:sz w:val="20"/>
                <w:szCs w:val="20"/>
              </w:rPr>
            </w:pPr>
          </w:p>
          <w:p w14:paraId="4415343E" w14:textId="76681A50" w:rsidR="005E6530" w:rsidRPr="00607D5E" w:rsidRDefault="005E6530" w:rsidP="0077161B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species names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7161B"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 w:rsidR="00A51BFA">
              <w:rPr>
                <w:rFonts w:ascii="Aptos" w:hAnsi="Aptos" w:cs="Arial"/>
                <w:sz w:val="20"/>
                <w:szCs w:val="20"/>
              </w:rPr>
              <w:t>by binomial names</w:t>
            </w:r>
            <w:r w:rsidR="00607D5E">
              <w:rPr>
                <w:rFonts w:ascii="Aptos" w:hAnsi="Aptos" w:cs="Arial"/>
                <w:sz w:val="20"/>
                <w:szCs w:val="20"/>
              </w:rPr>
              <w:t xml:space="preserve"> (see Etymology section). </w:t>
            </w:r>
          </w:p>
          <w:p w14:paraId="53F57983" w14:textId="77777777" w:rsidR="00FC2269" w:rsidRPr="005E6530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716FFF" w14:textId="77777777" w:rsidR="00A51BFA" w:rsidRPr="00A51BFA" w:rsidRDefault="00A77B8E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 w:rsidR="002B48F5">
              <w:rPr>
                <w:rFonts w:ascii="Aptos" w:hAnsi="Aptos" w:cs="Arial"/>
                <w:sz w:val="20"/>
              </w:rPr>
              <w:t xml:space="preserve"> </w:t>
            </w:r>
            <w:r w:rsidR="00A51BFA"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="00A51BFA"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="00A51BFA"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="00A51BFA"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="00A51BFA"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69E252E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9CD9E4A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2A93CD93" w14:textId="70A94BCB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03424FD5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21FD402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0B93AEC2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3BA3F9A1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7D5C04E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CAC7553" w14:textId="503E33F4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This rule requires most established species names to be changed. Here, we propose to</w:t>
            </w:r>
          </w:p>
          <w:p w14:paraId="1F1DB0D8" w14:textId="5271A892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change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following this rule</w:t>
            </w:r>
          </w:p>
          <w:p w14:paraId="37AA67F7" w14:textId="12C65F15" w:rsidR="00B50485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by adopting binomial names.</w:t>
            </w:r>
          </w:p>
          <w:p w14:paraId="18507DF4" w14:textId="106CC411" w:rsidR="002F07A3" w:rsidRPr="005E6530" w:rsidRDefault="002F07A3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FC92843" w:rsidR="00A77B8E" w:rsidRDefault="00A77B8E" w:rsidP="00BF517C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607D5E" w14:paraId="1E86E5C0" w14:textId="77777777" w:rsidTr="00A77B8E">
        <w:tc>
          <w:tcPr>
            <w:tcW w:w="8926" w:type="dxa"/>
          </w:tcPr>
          <w:p w14:paraId="7F8F5B19" w14:textId="77777777" w:rsidR="00A51BFA" w:rsidRPr="0053220F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39A6C153" w14:textId="77777777" w:rsid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534EB7" w14:textId="77777777" w:rsidR="00A51BFA" w:rsidRPr="0077161B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FFF99DA" w14:textId="77777777" w:rsidR="00A51BFA" w:rsidRDefault="00A51BFA" w:rsidP="00A51BFA">
            <w:pPr>
              <w:rPr>
                <w:rFonts w:ascii="Aptos" w:hAnsi="Aptos"/>
                <w:sz w:val="20"/>
                <w:szCs w:val="20"/>
              </w:rPr>
            </w:pPr>
          </w:p>
          <w:p w14:paraId="5BBDEBBA" w14:textId="77777777" w:rsidR="00A51BFA" w:rsidRPr="00607D5E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species names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>
              <w:rPr>
                <w:rFonts w:ascii="Aptos" w:hAnsi="Aptos" w:cs="Arial"/>
                <w:sz w:val="20"/>
                <w:szCs w:val="20"/>
              </w:rPr>
              <w:t xml:space="preserve">by binomial species names (see Etymology section). </w:t>
            </w:r>
          </w:p>
          <w:p w14:paraId="20092CDE" w14:textId="77777777" w:rsidR="00A51BFA" w:rsidRPr="005E6530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0B0283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106C2878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059450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BB92729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292003A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4C39A4A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5A6EFD06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6EEDC544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32B5A5BC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3616D04" w14:textId="601CA4C0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This rule requires most established species names to be changed. Here, </w:t>
            </w:r>
            <w:r w:rsidR="009B1E4D" w:rsidRPr="00A51BFA">
              <w:rPr>
                <w:rFonts w:ascii="Aptos" w:hAnsi="Aptos" w:cs="Arial"/>
                <w:sz w:val="20"/>
              </w:rPr>
              <w:t>following this rule</w:t>
            </w:r>
            <w:r w:rsidR="009B1E4D">
              <w:rPr>
                <w:rFonts w:ascii="Aptos" w:hAnsi="Aptos" w:cs="Arial"/>
                <w:sz w:val="20"/>
              </w:rPr>
              <w:t>,</w:t>
            </w:r>
            <w:r w:rsidR="009B1E4D" w:rsidRPr="00A51BFA">
              <w:rPr>
                <w:rFonts w:ascii="Aptos" w:hAnsi="Aptos" w:cs="Arial"/>
                <w:sz w:val="20"/>
              </w:rPr>
              <w:t xml:space="preserve"> </w:t>
            </w:r>
            <w:r w:rsidRPr="00A51BFA">
              <w:rPr>
                <w:rFonts w:ascii="Aptos" w:hAnsi="Aptos" w:cs="Arial"/>
                <w:sz w:val="20"/>
              </w:rPr>
              <w:t xml:space="preserve">we propose </w:t>
            </w:r>
            <w:proofErr w:type="spellStart"/>
            <w:r w:rsidRPr="00A51BFA">
              <w:rPr>
                <w:rFonts w:ascii="Aptos" w:hAnsi="Aptos" w:cs="Arial"/>
                <w:sz w:val="20"/>
              </w:rPr>
              <w:t>tochange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</w:t>
            </w:r>
          </w:p>
          <w:p w14:paraId="6439F55D" w14:textId="45E94605" w:rsidR="00607D5E" w:rsidRDefault="00A51BFA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by adopting binomial </w:t>
            </w:r>
            <w:r w:rsidR="009B1E4D">
              <w:rPr>
                <w:rFonts w:ascii="Aptos" w:hAnsi="Aptos" w:cs="Arial"/>
                <w:sz w:val="20"/>
              </w:rPr>
              <w:t>format</w:t>
            </w:r>
            <w:r w:rsidRPr="00A51BFA">
              <w:rPr>
                <w:rFonts w:ascii="Aptos" w:hAnsi="Aptos" w:cs="Arial"/>
                <w:sz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D1B1CCD" w14:textId="200CDE3F" w:rsidR="00953FFE" w:rsidRPr="00BE4F5A" w:rsidRDefault="00953FFE" w:rsidP="00607D5E">
            <w:pPr>
              <w:pStyle w:val="EndNoteBibliography"/>
              <w:ind w:left="567" w:hanging="567"/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2F4FEAA4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7E95EDC" w14:textId="77777777" w:rsidR="00C8233B" w:rsidRDefault="00C8233B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21"/>
        <w:gridCol w:w="5605"/>
      </w:tblGrid>
      <w:tr w:rsidR="00FC2269" w:rsidRPr="009F7856" w14:paraId="52BE71B6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7223D10" w:rsidR="00FC2269" w:rsidRPr="00220A26" w:rsidRDefault="00FC2269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A269C3">
        <w:trPr>
          <w:trHeight w:val="73"/>
        </w:trPr>
        <w:tc>
          <w:tcPr>
            <w:tcW w:w="3321" w:type="dxa"/>
            <w:shd w:val="clear" w:color="auto" w:fill="auto"/>
          </w:tcPr>
          <w:p w14:paraId="6F1D2BAE" w14:textId="77777777" w:rsidR="00FC2269" w:rsidRPr="00C8775F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05" w:type="dxa"/>
            <w:shd w:val="clear" w:color="auto" w:fill="auto"/>
          </w:tcPr>
          <w:p w14:paraId="4D21A6E0" w14:textId="77777777" w:rsidR="00FC2269" w:rsidRPr="00CF59EA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A269C3" w14:paraId="206A5E9E" w14:textId="77777777" w:rsidTr="00A269C3">
        <w:trPr>
          <w:trHeight w:val="71"/>
        </w:trPr>
        <w:tc>
          <w:tcPr>
            <w:tcW w:w="3321" w:type="dxa"/>
            <w:shd w:val="clear" w:color="auto" w:fill="auto"/>
          </w:tcPr>
          <w:p w14:paraId="1EBF10D0" w14:textId="3BBC1F0D" w:rsidR="00FC2269" w:rsidRPr="00A269C3" w:rsidRDefault="00FC2269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5605" w:type="dxa"/>
            <w:shd w:val="clear" w:color="auto" w:fill="auto"/>
          </w:tcPr>
          <w:p w14:paraId="22F4B256" w14:textId="1F633384" w:rsidR="00FC2269" w:rsidRPr="00A269C3" w:rsidRDefault="00FC2269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</w:p>
        </w:tc>
      </w:tr>
    </w:tbl>
    <w:p w14:paraId="58E1BBA6" w14:textId="77777777" w:rsidR="00FC2269" w:rsidRPr="00A269C3" w:rsidRDefault="00FC2269" w:rsidP="00DD58AA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5D2151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4E2A1BF2" w14:textId="2CFF74F1" w:rsidR="000426E3" w:rsidRPr="00F110F7" w:rsidRDefault="000426E3" w:rsidP="00B50485">
      <w:pPr>
        <w:spacing w:after="160" w:line="259" w:lineRule="auto"/>
        <w:rPr>
          <w:rFonts w:ascii="Aptos" w:hAnsi="Aptos"/>
          <w:color w:val="0070C0"/>
        </w:rPr>
      </w:pPr>
    </w:p>
    <w:sectPr w:rsidR="000426E3" w:rsidRPr="00F110F7" w:rsidSect="00B50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42B" w14:textId="77777777" w:rsidR="00411BB1" w:rsidRDefault="00411BB1">
      <w:r>
        <w:separator/>
      </w:r>
    </w:p>
  </w:endnote>
  <w:endnote w:type="continuationSeparator" w:id="0">
    <w:p w14:paraId="0A3312C0" w14:textId="77777777" w:rsidR="00411BB1" w:rsidRDefault="00411BB1">
      <w:r>
        <w:continuationSeparator/>
      </w:r>
    </w:p>
  </w:endnote>
  <w:endnote w:type="continuationNotice" w:id="1">
    <w:p w14:paraId="471AA740" w14:textId="77777777" w:rsidR="00411BB1" w:rsidRDefault="00411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CA3DC7" w:rsidRDefault="00CA3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CA3DC7" w:rsidRPr="00AD5A3A" w:rsidRDefault="00CA3DC7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CA3DC7" w:rsidRDefault="00CA3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CA3DC7" w:rsidRDefault="00CA3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B419" w14:textId="77777777" w:rsidR="00411BB1" w:rsidRDefault="00411BB1">
      <w:r>
        <w:separator/>
      </w:r>
    </w:p>
  </w:footnote>
  <w:footnote w:type="continuationSeparator" w:id="0">
    <w:p w14:paraId="0A6A6015" w14:textId="77777777" w:rsidR="00411BB1" w:rsidRDefault="00411BB1">
      <w:r>
        <w:continuationSeparator/>
      </w:r>
    </w:p>
  </w:footnote>
  <w:footnote w:type="continuationNotice" w:id="1">
    <w:p w14:paraId="2099308B" w14:textId="77777777" w:rsidR="00411BB1" w:rsidRDefault="00411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CA3DC7" w:rsidRDefault="00CA3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026ABBD3" w:rsidR="00CA3DC7" w:rsidRPr="00F110F7" w:rsidRDefault="00CA3DC7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</w:t>
    </w:r>
    <w:r>
      <w:rPr>
        <w:rFonts w:ascii="Aptos" w:hAnsi="Aptos"/>
        <w:i/>
        <w:sz w:val="18"/>
        <w:szCs w:val="18"/>
      </w:rPr>
      <w:t>5</w:t>
    </w:r>
    <w:r w:rsidRPr="00F110F7">
      <w:rPr>
        <w:rFonts w:ascii="Aptos" w:hAnsi="Aptos"/>
        <w:i/>
        <w:sz w:val="18"/>
        <w:szCs w:val="18"/>
      </w:rPr>
      <w:t xml:space="preserve">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CA3DC7" w:rsidRDefault="00CA3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0BB4"/>
    <w:multiLevelType w:val="hybridMultilevel"/>
    <w:tmpl w:val="D0F6E84C"/>
    <w:lvl w:ilvl="0" w:tplc="322E5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07E9"/>
    <w:multiLevelType w:val="hybridMultilevel"/>
    <w:tmpl w:val="54546F52"/>
    <w:lvl w:ilvl="0" w:tplc="AB1E4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General 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9fvzz9hdtadpe05sfxxarlzf2a2es99dp0&quot;&gt;VEG references_ps_17_Oct_2021&lt;record-ids&gt;&lt;item&gt;113&lt;/item&gt;&lt;item&gt;28917&lt;/item&gt;&lt;item&gt;29925&lt;/item&gt;&lt;item&gt;30135&lt;/item&gt;&lt;item&gt;30275&lt;/item&gt;&lt;item&gt;30284&lt;/item&gt;&lt;item&gt;30308&lt;/item&gt;&lt;item&gt;30555&lt;/item&gt;&lt;item&gt;32078&lt;/item&gt;&lt;item&gt;32102&lt;/item&gt;&lt;item&gt;32331&lt;/item&gt;&lt;item&gt;32386&lt;/item&gt;&lt;item&gt;32557&lt;/item&gt;&lt;item&gt;32558&lt;/item&gt;&lt;item&gt;32559&lt;/item&gt;&lt;item&gt;32560&lt;/item&gt;&lt;item&gt;32561&lt;/item&gt;&lt;item&gt;32562&lt;/item&gt;&lt;item&gt;32563&lt;/item&gt;&lt;item&gt;32564&lt;/item&gt;&lt;item&gt;32565&lt;/item&gt;&lt;item&gt;32566&lt;/item&gt;&lt;item&gt;32567&lt;/item&gt;&lt;item&gt;32569&lt;/item&gt;&lt;item&gt;32570&lt;/item&gt;&lt;item&gt;32571&lt;/item&gt;&lt;item&gt;32573&lt;/item&gt;&lt;item&gt;32575&lt;/item&gt;&lt;item&gt;32576&lt;/item&gt;&lt;item&gt;32577&lt;/item&gt;&lt;item&gt;32578&lt;/item&gt;&lt;item&gt;32581&lt;/item&gt;&lt;item&gt;32582&lt;/item&gt;&lt;item&gt;32584&lt;/item&gt;&lt;item&gt;32590&lt;/item&gt;&lt;item&gt;32591&lt;/item&gt;&lt;item&gt;32596&lt;/item&gt;&lt;item&gt;32607&lt;/item&gt;&lt;item&gt;32608&lt;/item&gt;&lt;item&gt;32645&lt;/item&gt;&lt;item&gt;32650&lt;/item&gt;&lt;item&gt;32651&lt;/item&gt;&lt;item&gt;32654&lt;/item&gt;&lt;item&gt;32655&lt;/item&gt;&lt;item&gt;32656&lt;/item&gt;&lt;item&gt;32659&lt;/item&gt;&lt;item&gt;32660&lt;/item&gt;&lt;item&gt;32661&lt;/item&gt;&lt;item&gt;32662&lt;/item&gt;&lt;item&gt;32663&lt;/item&gt;&lt;item&gt;32664&lt;/item&gt;&lt;item&gt;32665&lt;/item&gt;&lt;item&gt;32666&lt;/item&gt;&lt;item&gt;32672&lt;/item&gt;&lt;item&gt;32673&lt;/item&gt;&lt;item&gt;32685&lt;/item&gt;&lt;item&gt;32686&lt;/item&gt;&lt;item&gt;32687&lt;/item&gt;&lt;item&gt;32688&lt;/item&gt;&lt;item&gt;32689&lt;/item&gt;&lt;item&gt;32769&lt;/item&gt;&lt;/record-ids&gt;&lt;/item&gt;&lt;/Libraries&gt;"/>
  </w:docVars>
  <w:rsids>
    <w:rsidRoot w:val="00A174CC"/>
    <w:rsid w:val="00017BF9"/>
    <w:rsid w:val="00023385"/>
    <w:rsid w:val="00026334"/>
    <w:rsid w:val="00035A87"/>
    <w:rsid w:val="000406E1"/>
    <w:rsid w:val="00040CB0"/>
    <w:rsid w:val="0004176B"/>
    <w:rsid w:val="000426E3"/>
    <w:rsid w:val="000449DB"/>
    <w:rsid w:val="0008012E"/>
    <w:rsid w:val="00095E22"/>
    <w:rsid w:val="000A146A"/>
    <w:rsid w:val="000A3FE7"/>
    <w:rsid w:val="000A458D"/>
    <w:rsid w:val="000A6B4F"/>
    <w:rsid w:val="000A7027"/>
    <w:rsid w:val="000B1BF3"/>
    <w:rsid w:val="000B5D78"/>
    <w:rsid w:val="000B6878"/>
    <w:rsid w:val="000D182E"/>
    <w:rsid w:val="000F51F4"/>
    <w:rsid w:val="000F7067"/>
    <w:rsid w:val="0010177F"/>
    <w:rsid w:val="00102A13"/>
    <w:rsid w:val="00106232"/>
    <w:rsid w:val="0011008F"/>
    <w:rsid w:val="00117C72"/>
    <w:rsid w:val="00121A76"/>
    <w:rsid w:val="0013113D"/>
    <w:rsid w:val="001322FC"/>
    <w:rsid w:val="001424C2"/>
    <w:rsid w:val="00155830"/>
    <w:rsid w:val="00156550"/>
    <w:rsid w:val="00171083"/>
    <w:rsid w:val="00172351"/>
    <w:rsid w:val="0018317D"/>
    <w:rsid w:val="001C7F6E"/>
    <w:rsid w:val="001D0007"/>
    <w:rsid w:val="001D3E3E"/>
    <w:rsid w:val="00220A26"/>
    <w:rsid w:val="00223888"/>
    <w:rsid w:val="002312CE"/>
    <w:rsid w:val="0023149A"/>
    <w:rsid w:val="0023696B"/>
    <w:rsid w:val="0024086E"/>
    <w:rsid w:val="0025498B"/>
    <w:rsid w:val="00256083"/>
    <w:rsid w:val="00273642"/>
    <w:rsid w:val="00274629"/>
    <w:rsid w:val="0028016D"/>
    <w:rsid w:val="002955F6"/>
    <w:rsid w:val="00296DA3"/>
    <w:rsid w:val="002A36BB"/>
    <w:rsid w:val="002A5A83"/>
    <w:rsid w:val="002B48F5"/>
    <w:rsid w:val="002D4340"/>
    <w:rsid w:val="002E0972"/>
    <w:rsid w:val="002F07A3"/>
    <w:rsid w:val="002F1FF4"/>
    <w:rsid w:val="002F2341"/>
    <w:rsid w:val="0031764B"/>
    <w:rsid w:val="00327E73"/>
    <w:rsid w:val="00333392"/>
    <w:rsid w:val="003464F5"/>
    <w:rsid w:val="00355CE0"/>
    <w:rsid w:val="00363A30"/>
    <w:rsid w:val="0037125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B56F6"/>
    <w:rsid w:val="003B6997"/>
    <w:rsid w:val="003C5428"/>
    <w:rsid w:val="003D11A1"/>
    <w:rsid w:val="003D4BAC"/>
    <w:rsid w:val="003E62E2"/>
    <w:rsid w:val="003F2A97"/>
    <w:rsid w:val="003F46E0"/>
    <w:rsid w:val="00411BB1"/>
    <w:rsid w:val="0043110C"/>
    <w:rsid w:val="00437970"/>
    <w:rsid w:val="004463EC"/>
    <w:rsid w:val="00467DE7"/>
    <w:rsid w:val="00471256"/>
    <w:rsid w:val="004E32E5"/>
    <w:rsid w:val="004E532E"/>
    <w:rsid w:val="004F2F1E"/>
    <w:rsid w:val="004F3196"/>
    <w:rsid w:val="0051074B"/>
    <w:rsid w:val="005116E8"/>
    <w:rsid w:val="00522825"/>
    <w:rsid w:val="005241F7"/>
    <w:rsid w:val="0053220F"/>
    <w:rsid w:val="00536426"/>
    <w:rsid w:val="00543F86"/>
    <w:rsid w:val="0054631E"/>
    <w:rsid w:val="0055461D"/>
    <w:rsid w:val="00570B9B"/>
    <w:rsid w:val="0058465A"/>
    <w:rsid w:val="00590DF3"/>
    <w:rsid w:val="005A54C3"/>
    <w:rsid w:val="005A732E"/>
    <w:rsid w:val="005D3C2E"/>
    <w:rsid w:val="005E6530"/>
    <w:rsid w:val="006043FB"/>
    <w:rsid w:val="00607227"/>
    <w:rsid w:val="00607D5E"/>
    <w:rsid w:val="0061060F"/>
    <w:rsid w:val="006109F7"/>
    <w:rsid w:val="00631962"/>
    <w:rsid w:val="00636D33"/>
    <w:rsid w:val="00647814"/>
    <w:rsid w:val="0067795B"/>
    <w:rsid w:val="00683D0C"/>
    <w:rsid w:val="006B3C87"/>
    <w:rsid w:val="006B7AB8"/>
    <w:rsid w:val="006C0F51"/>
    <w:rsid w:val="006C4B17"/>
    <w:rsid w:val="006D18F6"/>
    <w:rsid w:val="006D428E"/>
    <w:rsid w:val="006E50AA"/>
    <w:rsid w:val="00723577"/>
    <w:rsid w:val="0072682D"/>
    <w:rsid w:val="00736440"/>
    <w:rsid w:val="00736E9F"/>
    <w:rsid w:val="00737875"/>
    <w:rsid w:val="00740A3F"/>
    <w:rsid w:val="0077161B"/>
    <w:rsid w:val="0079157C"/>
    <w:rsid w:val="00797BC5"/>
    <w:rsid w:val="007B0F70"/>
    <w:rsid w:val="007B494C"/>
    <w:rsid w:val="007B6511"/>
    <w:rsid w:val="007E0EF5"/>
    <w:rsid w:val="007E667B"/>
    <w:rsid w:val="008055E2"/>
    <w:rsid w:val="00812698"/>
    <w:rsid w:val="00822B3A"/>
    <w:rsid w:val="00823A9E"/>
    <w:rsid w:val="00824208"/>
    <w:rsid w:val="008308A0"/>
    <w:rsid w:val="00846295"/>
    <w:rsid w:val="00852D43"/>
    <w:rsid w:val="008541FC"/>
    <w:rsid w:val="00865726"/>
    <w:rsid w:val="0086766F"/>
    <w:rsid w:val="008815EE"/>
    <w:rsid w:val="008860E0"/>
    <w:rsid w:val="00891A42"/>
    <w:rsid w:val="00895ACE"/>
    <w:rsid w:val="008A22E9"/>
    <w:rsid w:val="008B43B1"/>
    <w:rsid w:val="008B7807"/>
    <w:rsid w:val="008C4A6F"/>
    <w:rsid w:val="008E5747"/>
    <w:rsid w:val="008F51E2"/>
    <w:rsid w:val="00901EBC"/>
    <w:rsid w:val="00903048"/>
    <w:rsid w:val="009078FF"/>
    <w:rsid w:val="00924EA0"/>
    <w:rsid w:val="009457C8"/>
    <w:rsid w:val="00953FFE"/>
    <w:rsid w:val="00964913"/>
    <w:rsid w:val="00964F7C"/>
    <w:rsid w:val="009703AF"/>
    <w:rsid w:val="00974174"/>
    <w:rsid w:val="009741D1"/>
    <w:rsid w:val="00974C28"/>
    <w:rsid w:val="00976E37"/>
    <w:rsid w:val="00981B90"/>
    <w:rsid w:val="0099311D"/>
    <w:rsid w:val="009A3B4A"/>
    <w:rsid w:val="009A63AD"/>
    <w:rsid w:val="009A744B"/>
    <w:rsid w:val="009B1E4D"/>
    <w:rsid w:val="009C4B24"/>
    <w:rsid w:val="009F7856"/>
    <w:rsid w:val="00A0465F"/>
    <w:rsid w:val="00A06D2F"/>
    <w:rsid w:val="00A10BA1"/>
    <w:rsid w:val="00A11462"/>
    <w:rsid w:val="00A17112"/>
    <w:rsid w:val="00A174CC"/>
    <w:rsid w:val="00A21557"/>
    <w:rsid w:val="00A2357C"/>
    <w:rsid w:val="00A269C3"/>
    <w:rsid w:val="00A26F4C"/>
    <w:rsid w:val="00A31FEC"/>
    <w:rsid w:val="00A32E10"/>
    <w:rsid w:val="00A443CA"/>
    <w:rsid w:val="00A4449B"/>
    <w:rsid w:val="00A51BFA"/>
    <w:rsid w:val="00A5351F"/>
    <w:rsid w:val="00A77B8E"/>
    <w:rsid w:val="00A82FBB"/>
    <w:rsid w:val="00AA4711"/>
    <w:rsid w:val="00AC74B6"/>
    <w:rsid w:val="00AD201A"/>
    <w:rsid w:val="00AD2884"/>
    <w:rsid w:val="00AD5A3A"/>
    <w:rsid w:val="00AD759B"/>
    <w:rsid w:val="00AE1165"/>
    <w:rsid w:val="00AE2E79"/>
    <w:rsid w:val="00AE528C"/>
    <w:rsid w:val="00AF4998"/>
    <w:rsid w:val="00B03B7F"/>
    <w:rsid w:val="00B1187F"/>
    <w:rsid w:val="00B33893"/>
    <w:rsid w:val="00B35CC8"/>
    <w:rsid w:val="00B40633"/>
    <w:rsid w:val="00B41362"/>
    <w:rsid w:val="00B47589"/>
    <w:rsid w:val="00B50485"/>
    <w:rsid w:val="00B80251"/>
    <w:rsid w:val="00BD7967"/>
    <w:rsid w:val="00BE1B01"/>
    <w:rsid w:val="00BE47BD"/>
    <w:rsid w:val="00BE4F5A"/>
    <w:rsid w:val="00BF1E42"/>
    <w:rsid w:val="00BF2A30"/>
    <w:rsid w:val="00BF517C"/>
    <w:rsid w:val="00C37B97"/>
    <w:rsid w:val="00C55633"/>
    <w:rsid w:val="00C56BC0"/>
    <w:rsid w:val="00C73356"/>
    <w:rsid w:val="00C77367"/>
    <w:rsid w:val="00C8233B"/>
    <w:rsid w:val="00C8775F"/>
    <w:rsid w:val="00C95FB7"/>
    <w:rsid w:val="00C978B3"/>
    <w:rsid w:val="00CA172F"/>
    <w:rsid w:val="00CA3DC7"/>
    <w:rsid w:val="00CB0968"/>
    <w:rsid w:val="00CD1675"/>
    <w:rsid w:val="00CD2C82"/>
    <w:rsid w:val="00CE69A4"/>
    <w:rsid w:val="00CF59EA"/>
    <w:rsid w:val="00D04287"/>
    <w:rsid w:val="00D062BE"/>
    <w:rsid w:val="00D10857"/>
    <w:rsid w:val="00D13AD5"/>
    <w:rsid w:val="00D2107B"/>
    <w:rsid w:val="00D234A1"/>
    <w:rsid w:val="00D23567"/>
    <w:rsid w:val="00D36036"/>
    <w:rsid w:val="00D46663"/>
    <w:rsid w:val="00D55320"/>
    <w:rsid w:val="00D77E1C"/>
    <w:rsid w:val="00DB372A"/>
    <w:rsid w:val="00DD58AA"/>
    <w:rsid w:val="00DE01F5"/>
    <w:rsid w:val="00E034BE"/>
    <w:rsid w:val="00E27FC8"/>
    <w:rsid w:val="00E357DE"/>
    <w:rsid w:val="00E37077"/>
    <w:rsid w:val="00E503D2"/>
    <w:rsid w:val="00E50727"/>
    <w:rsid w:val="00E76254"/>
    <w:rsid w:val="00E863D4"/>
    <w:rsid w:val="00E969AE"/>
    <w:rsid w:val="00EA0C79"/>
    <w:rsid w:val="00EA1098"/>
    <w:rsid w:val="00EA12A5"/>
    <w:rsid w:val="00ED4569"/>
    <w:rsid w:val="00EE404D"/>
    <w:rsid w:val="00EE484F"/>
    <w:rsid w:val="00EF07AF"/>
    <w:rsid w:val="00EF2448"/>
    <w:rsid w:val="00F110F7"/>
    <w:rsid w:val="00F141D5"/>
    <w:rsid w:val="00F42D94"/>
    <w:rsid w:val="00F5129F"/>
    <w:rsid w:val="00F577F7"/>
    <w:rsid w:val="00F62692"/>
    <w:rsid w:val="00F711CE"/>
    <w:rsid w:val="00F72842"/>
    <w:rsid w:val="00F74510"/>
    <w:rsid w:val="00F74636"/>
    <w:rsid w:val="00F75D66"/>
    <w:rsid w:val="00F82410"/>
    <w:rsid w:val="00F9028E"/>
    <w:rsid w:val="00F911F1"/>
    <w:rsid w:val="00FA1DC3"/>
    <w:rsid w:val="00FB300C"/>
    <w:rsid w:val="00FC2269"/>
    <w:rsid w:val="00FC4730"/>
    <w:rsid w:val="00FF084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0"/>
    </w:pPr>
    <w:rPr>
      <w:rFonts w:eastAsiaTheme="minorEastAsia"/>
      <w:b/>
      <w:bCs/>
    </w:rPr>
  </w:style>
  <w:style w:type="paragraph" w:styleId="Heading2">
    <w:name w:val="heading 2"/>
    <w:basedOn w:val="Normal"/>
    <w:link w:val="Heading2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1"/>
    </w:pPr>
    <w:rPr>
      <w:rFonts w:eastAsiaTheme="minorEastAsia"/>
      <w:b/>
      <w:i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964913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964913"/>
    <w:rPr>
      <w:rFonts w:ascii="Times New Roman" w:eastAsiaTheme="minorEastAsia" w:hAnsi="Times New Roman" w:cs="Times New Roman"/>
      <w:b/>
      <w:i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Char"/>
    <w:rsid w:val="0022388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3888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388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3888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0877-4B18-4305-A3E4-6968C39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</cp:revision>
  <dcterms:created xsi:type="dcterms:W3CDTF">2025-07-22T06:42:00Z</dcterms:created>
  <dcterms:modified xsi:type="dcterms:W3CDTF">2025-07-22T06:42:00Z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