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737AFC1F" w:rsidR="006D1B4E" w:rsidRPr="009320C8" w:rsidRDefault="005A6490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A6490">
              <w:rPr>
                <w:rFonts w:ascii="Arial" w:hAnsi="Arial" w:cs="Arial"/>
                <w:b/>
                <w:i/>
                <w:sz w:val="36"/>
                <w:szCs w:val="36"/>
              </w:rPr>
              <w:t>2018.043B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29BA236A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643067" w:rsidRPr="00476C3F">
              <w:rPr>
                <w:rFonts w:ascii="Arial" w:hAnsi="Arial" w:cs="Arial"/>
                <w:b/>
                <w:i/>
              </w:rPr>
              <w:t>Vidquintavirus</w:t>
            </w:r>
            <w:r w:rsidR="00643067">
              <w:rPr>
                <w:rFonts w:ascii="Arial" w:hAnsi="Arial" w:cs="Arial"/>
                <w:b/>
              </w:rPr>
              <w:t xml:space="preserve">, </w:t>
            </w:r>
            <w:r w:rsidR="00476C3F">
              <w:rPr>
                <w:rFonts w:ascii="Arial" w:hAnsi="Arial" w:cs="Arial"/>
                <w:b/>
              </w:rPr>
              <w:t xml:space="preserve">containing a single species in the family </w:t>
            </w:r>
            <w:r w:rsidR="00476C3F" w:rsidRPr="00476C3F">
              <w:rPr>
                <w:rFonts w:ascii="Arial" w:hAnsi="Arial" w:cs="Arial"/>
                <w:b/>
                <w:i/>
              </w:rPr>
              <w:t>Siphoviridae</w:t>
            </w:r>
            <w:r w:rsidR="00476C3F">
              <w:rPr>
                <w:rFonts w:ascii="Arial" w:hAnsi="Arial" w:cs="Arial"/>
                <w:b/>
              </w:rPr>
              <w:t>.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52763EC4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</w:p>
          <w:p w14:paraId="43046FB6" w14:textId="35D5780F" w:rsidR="00636B14" w:rsidRPr="009320C8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06E43F1F" w:rsidR="00422FF0" w:rsidRPr="009320C8" w:rsidRDefault="005A6490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3E994A5C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476C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6490" w:rsidRPr="005A6490">
              <w:rPr>
                <w:rFonts w:ascii="Arial" w:hAnsi="Arial" w:cs="Arial"/>
                <w:b/>
                <w:sz w:val="22"/>
                <w:szCs w:val="22"/>
              </w:rPr>
              <w:t>2018.043B</w:t>
            </w:r>
            <w:r w:rsidR="005A6490">
              <w:rPr>
                <w:rFonts w:ascii="Arial" w:hAnsi="Arial" w:cs="Arial"/>
                <w:b/>
                <w:sz w:val="22"/>
                <w:szCs w:val="22"/>
              </w:rPr>
              <w:t>.N.v1.</w:t>
            </w:r>
            <w:bookmarkStart w:id="4" w:name="_GoBack"/>
            <w:bookmarkEnd w:id="4"/>
            <w:r w:rsidR="00476C3F">
              <w:rPr>
                <w:rFonts w:ascii="Arial" w:hAnsi="Arial" w:cs="Arial"/>
                <w:b/>
                <w:sz w:val="22"/>
                <w:szCs w:val="22"/>
              </w:rPr>
              <w:t>Vidquintavirus</w:t>
            </w:r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6CDD81EE" w:rsidR="00384F60" w:rsidRPr="00476C3F" w:rsidRDefault="00384F60" w:rsidP="00384F60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476C3F">
        <w:rPr>
          <w:rFonts w:ascii="Arial" w:hAnsi="Arial" w:cs="Arial"/>
          <w:sz w:val="20"/>
          <w:szCs w:val="20"/>
          <w:lang w:val="en-GB"/>
        </w:rPr>
        <w:t xml:space="preserve">The name of this genius is directly derived from the name of the isolate, </w:t>
      </w:r>
      <w:r w:rsidR="00476C3F" w:rsidRPr="00476C3F">
        <w:rPr>
          <w:rFonts w:ascii="Arial" w:hAnsi="Arial" w:cs="Arial"/>
          <w:sz w:val="20"/>
          <w:szCs w:val="20"/>
          <w:lang w:val="en-GB"/>
        </w:rPr>
        <w:t>Pantoea phage vB_PagS_Vid5</w:t>
      </w:r>
    </w:p>
    <w:p w14:paraId="186CAF47" w14:textId="77777777" w:rsidR="006C4A0C" w:rsidRDefault="006C4A0C" w:rsidP="00AC0E72">
      <w:pPr>
        <w:rPr>
          <w:lang w:val="en-GB"/>
        </w:rPr>
      </w:pPr>
    </w:p>
    <w:p w14:paraId="1C8CF7FC" w14:textId="5F879E74" w:rsidR="006C4A0C" w:rsidRPr="00476C3F" w:rsidRDefault="009A6F42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476C3F">
        <w:rPr>
          <w:rFonts w:ascii="Arial" w:hAnsi="Arial" w:cs="Arial"/>
          <w:color w:val="0000FF"/>
          <w:sz w:val="20"/>
          <w:szCs w:val="20"/>
          <w:lang w:val="en-GB"/>
        </w:rPr>
        <w:t xml:space="preserve">  </w:t>
      </w:r>
      <w:r w:rsidR="00476C3F">
        <w:rPr>
          <w:rFonts w:ascii="Arial" w:hAnsi="Arial" w:cs="Arial"/>
          <w:sz w:val="20"/>
          <w:szCs w:val="20"/>
          <w:lang w:val="en-GB"/>
        </w:rPr>
        <w:t xml:space="preserve">The phages was isolated from </w:t>
      </w:r>
      <w:r w:rsidR="00476C3F" w:rsidRPr="00476C3F">
        <w:rPr>
          <w:rFonts w:ascii="Arial" w:hAnsi="Arial" w:cs="Arial"/>
          <w:sz w:val="20"/>
          <w:szCs w:val="20"/>
          <w:lang w:val="en-GB"/>
        </w:rPr>
        <w:t xml:space="preserve">Amelanchier </w:t>
      </w:r>
      <w:r w:rsidR="00476C3F">
        <w:rPr>
          <w:rFonts w:ascii="Arial" w:hAnsi="Arial" w:cs="Arial"/>
          <w:sz w:val="20"/>
          <w:szCs w:val="20"/>
          <w:lang w:val="en-GB"/>
        </w:rPr>
        <w:t>spicate (</w:t>
      </w:r>
      <w:r w:rsidR="00476C3F" w:rsidRPr="00476C3F">
        <w:rPr>
          <w:rFonts w:ascii="Arial" w:hAnsi="Arial" w:cs="Arial"/>
          <w:sz w:val="20"/>
          <w:szCs w:val="20"/>
          <w:lang w:val="en-GB"/>
        </w:rPr>
        <w:t>low juneberry, thicket shadbush, dwarf serviceberry, or low serviceberry</w:t>
      </w:r>
      <w:r w:rsidR="00476C3F">
        <w:rPr>
          <w:rFonts w:ascii="Arial" w:hAnsi="Arial" w:cs="Arial"/>
          <w:sz w:val="20"/>
          <w:szCs w:val="20"/>
          <w:lang w:val="en-GB"/>
        </w:rPr>
        <w:t xml:space="preserve">) on </w:t>
      </w:r>
      <w:r w:rsidR="00476C3F" w:rsidRPr="00476C3F">
        <w:rPr>
          <w:rFonts w:ascii="Arial" w:hAnsi="Arial" w:cs="Arial"/>
          <w:sz w:val="20"/>
          <w:szCs w:val="20"/>
          <w:lang w:val="en-GB"/>
        </w:rPr>
        <w:t>Pantoea agglomerans</w:t>
      </w:r>
      <w:r w:rsidR="00476C3F">
        <w:rPr>
          <w:rFonts w:ascii="Arial" w:hAnsi="Arial" w:cs="Arial"/>
          <w:sz w:val="20"/>
          <w:szCs w:val="20"/>
          <w:lang w:val="en-GB"/>
        </w:rPr>
        <w:t xml:space="preserve"> by L.</w:t>
      </w:r>
      <w:r w:rsidR="00476C3F" w:rsidRPr="00476C3F">
        <w:rPr>
          <w:rFonts w:ascii="Arial" w:hAnsi="Arial" w:cs="Arial"/>
          <w:sz w:val="20"/>
          <w:szCs w:val="20"/>
          <w:lang w:val="en-GB"/>
        </w:rPr>
        <w:t>Truncaite</w:t>
      </w:r>
      <w:r w:rsidR="00476C3F">
        <w:rPr>
          <w:rFonts w:ascii="Arial" w:hAnsi="Arial" w:cs="Arial"/>
          <w:sz w:val="20"/>
          <w:szCs w:val="20"/>
          <w:lang w:val="en-GB"/>
        </w:rPr>
        <w:t xml:space="preserve"> et al. (</w:t>
      </w:r>
      <w:r w:rsidR="00476C3F" w:rsidRPr="00476C3F">
        <w:rPr>
          <w:rFonts w:ascii="Arial" w:hAnsi="Arial" w:cs="Arial"/>
          <w:sz w:val="20"/>
          <w:szCs w:val="20"/>
          <w:lang w:val="en-GB"/>
        </w:rPr>
        <w:t>Vilnius University,</w:t>
      </w:r>
      <w:r w:rsidR="00476C3F">
        <w:rPr>
          <w:rFonts w:ascii="Arial" w:hAnsi="Arial" w:cs="Arial"/>
          <w:sz w:val="20"/>
          <w:szCs w:val="20"/>
          <w:lang w:val="en-GB"/>
        </w:rPr>
        <w:t xml:space="preserve"> Lithuania).  The lack of repressor and integrase homologs indicate that it is a lytic phage.  Like the phylogenetically related phages in the diagram below it possesses genes for the synthesis of </w:t>
      </w:r>
      <w:r w:rsidR="00126B84" w:rsidRPr="00126B84">
        <w:rPr>
          <w:rFonts w:ascii="Arial" w:hAnsi="Arial" w:cs="Arial"/>
          <w:sz w:val="20"/>
          <w:szCs w:val="20"/>
          <w:lang w:val="en-GB"/>
        </w:rPr>
        <w:t>queuosine</w:t>
      </w:r>
      <w:r w:rsidR="00126B84">
        <w:rPr>
          <w:rFonts w:ascii="Arial" w:hAnsi="Arial" w:cs="Arial"/>
          <w:sz w:val="20"/>
          <w:szCs w:val="20"/>
          <w:lang w:val="en-GB"/>
        </w:rPr>
        <w:t>.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306"/>
        <w:gridCol w:w="983"/>
        <w:gridCol w:w="978"/>
        <w:gridCol w:w="1010"/>
        <w:gridCol w:w="980"/>
      </w:tblGrid>
      <w:tr w:rsidR="00C54C4D" w:rsidRPr="008E7E3B" w14:paraId="74EE6D34" w14:textId="77777777" w:rsidTr="0059587B">
        <w:tc>
          <w:tcPr>
            <w:tcW w:w="1451" w:type="dxa"/>
          </w:tcPr>
          <w:p w14:paraId="61BA04C0" w14:textId="77777777" w:rsidR="00C54C4D" w:rsidRPr="008E7E3B" w:rsidRDefault="00C54C4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306" w:type="dxa"/>
          </w:tcPr>
          <w:p w14:paraId="385514DD" w14:textId="77777777" w:rsidR="00C54C4D" w:rsidRPr="008E7E3B" w:rsidRDefault="00C54C4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983" w:type="dxa"/>
          </w:tcPr>
          <w:p w14:paraId="330E3754" w14:textId="77777777" w:rsidR="00C54C4D" w:rsidRPr="008E7E3B" w:rsidRDefault="00C54C4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978" w:type="dxa"/>
          </w:tcPr>
          <w:p w14:paraId="436D7193" w14:textId="77777777" w:rsidR="00C54C4D" w:rsidRPr="008E7E3B" w:rsidRDefault="00C54C4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1010" w:type="dxa"/>
          </w:tcPr>
          <w:p w14:paraId="58AAE8FF" w14:textId="77777777" w:rsidR="00C54C4D" w:rsidRPr="008E7E3B" w:rsidRDefault="00C54C4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80" w:type="dxa"/>
          </w:tcPr>
          <w:p w14:paraId="2FB95B40" w14:textId="77777777" w:rsidR="00C54C4D" w:rsidRPr="008E7E3B" w:rsidRDefault="00C54C4D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</w:tr>
      <w:tr w:rsidR="00C54C4D" w:rsidRPr="008E7E3B" w14:paraId="7986ECD9" w14:textId="77777777" w:rsidTr="0059587B">
        <w:tc>
          <w:tcPr>
            <w:tcW w:w="1451" w:type="dxa"/>
          </w:tcPr>
          <w:p w14:paraId="79E0649D" w14:textId="514A12A7" w:rsidR="00C54C4D" w:rsidRPr="008E7E3B" w:rsidRDefault="00476C3F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6C3F">
              <w:rPr>
                <w:rFonts w:ascii="Arial" w:hAnsi="Arial" w:cs="Arial"/>
                <w:sz w:val="20"/>
                <w:szCs w:val="20"/>
                <w:lang w:val="en-GB"/>
              </w:rPr>
              <w:t>vB_PagS_Vid5</w:t>
            </w:r>
          </w:p>
        </w:tc>
        <w:tc>
          <w:tcPr>
            <w:tcW w:w="1306" w:type="dxa"/>
          </w:tcPr>
          <w:p w14:paraId="3080DDA3" w14:textId="3D701B3C" w:rsidR="00C54C4D" w:rsidRPr="008E7E3B" w:rsidRDefault="00476C3F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6C3F">
              <w:rPr>
                <w:rFonts w:ascii="Arial" w:hAnsi="Arial" w:cs="Arial"/>
                <w:sz w:val="20"/>
                <w:szCs w:val="20"/>
                <w:lang w:val="en-GB"/>
              </w:rPr>
              <w:t>MG948468</w:t>
            </w:r>
          </w:p>
        </w:tc>
        <w:tc>
          <w:tcPr>
            <w:tcW w:w="983" w:type="dxa"/>
          </w:tcPr>
          <w:p w14:paraId="5AC380C4" w14:textId="65A2E811" w:rsidR="00C54C4D" w:rsidRPr="008E7E3B" w:rsidRDefault="00476C3F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61.44</w:t>
            </w:r>
          </w:p>
        </w:tc>
        <w:tc>
          <w:tcPr>
            <w:tcW w:w="978" w:type="dxa"/>
          </w:tcPr>
          <w:p w14:paraId="192FD525" w14:textId="0C027E22" w:rsidR="00C54C4D" w:rsidRPr="008E7E3B" w:rsidRDefault="00126B84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48.8</w:t>
            </w:r>
          </w:p>
        </w:tc>
        <w:tc>
          <w:tcPr>
            <w:tcW w:w="1010" w:type="dxa"/>
          </w:tcPr>
          <w:p w14:paraId="5B109C2B" w14:textId="4D3DB86B" w:rsidR="00C54C4D" w:rsidRPr="008E7E3B" w:rsidRDefault="00476C3F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99</w:t>
            </w:r>
          </w:p>
        </w:tc>
        <w:tc>
          <w:tcPr>
            <w:tcW w:w="980" w:type="dxa"/>
          </w:tcPr>
          <w:p w14:paraId="27441283" w14:textId="10D1AB8C" w:rsidR="00C54C4D" w:rsidRPr="008E7E3B" w:rsidRDefault="00476C3F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</w:tbl>
    <w:p w14:paraId="1C1480BB" w14:textId="77777777" w:rsidR="00C54C4D" w:rsidRPr="00805C88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4455FD40" w:rsidR="00C74088" w:rsidRPr="00476C3F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476C3F">
        <w:rPr>
          <w:rFonts w:ascii="Arial" w:hAnsi="Arial" w:cs="Arial"/>
          <w:sz w:val="20"/>
          <w:szCs w:val="20"/>
          <w:lang w:val="en-GB"/>
        </w:rPr>
        <w:t xml:space="preserve"> None; genomic orphan/singleton</w:t>
      </w:r>
      <w:r w:rsidR="004B47D5">
        <w:rPr>
          <w:rFonts w:ascii="Arial" w:hAnsi="Arial" w:cs="Arial"/>
          <w:sz w:val="20"/>
          <w:szCs w:val="20"/>
          <w:lang w:val="en-GB"/>
        </w:rPr>
        <w:t xml:space="preserve">. Its nearest relative is </w:t>
      </w:r>
      <w:r w:rsidR="004B47D5" w:rsidRPr="004B47D5">
        <w:rPr>
          <w:rFonts w:ascii="Arial" w:hAnsi="Arial" w:cs="Arial"/>
          <w:sz w:val="20"/>
          <w:szCs w:val="20"/>
          <w:lang w:val="en-GB"/>
        </w:rPr>
        <w:t>Enterobacteria phage CAjan</w:t>
      </w:r>
      <w:r w:rsidR="004B47D5">
        <w:rPr>
          <w:rFonts w:ascii="Arial" w:hAnsi="Arial" w:cs="Arial"/>
          <w:sz w:val="20"/>
          <w:szCs w:val="20"/>
          <w:lang w:val="en-GB"/>
        </w:rPr>
        <w:t>.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0313E9DE" w14:textId="5C1910F1" w:rsidR="0076041C" w:rsidRDefault="00C74088" w:rsidP="0076041C">
      <w:pPr>
        <w:rPr>
          <w:rFonts w:ascii="Arial" w:hAnsi="Arial" w:cs="Arial"/>
          <w:b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76041C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76041C">
        <w:rPr>
          <w:rFonts w:ascii="Arial" w:hAnsi="Arial" w:cs="Arial"/>
          <w:sz w:val="20"/>
          <w:szCs w:val="20"/>
          <w:lang w:val="en-GB"/>
        </w:rPr>
        <w:t>The phylogenetic tree was constructed, using phylogeny.fr, using the major capsid protein homologs of Vid5 and related phages.</w:t>
      </w:r>
    </w:p>
    <w:p w14:paraId="723934D4" w14:textId="28985DB8" w:rsidR="00C74088" w:rsidRPr="00805C88" w:rsidRDefault="00C74088" w:rsidP="00AC0E72">
      <w:pPr>
        <w:rPr>
          <w:rFonts w:ascii="Arial" w:hAnsi="Arial" w:cs="Arial"/>
          <w:b/>
          <w:sz w:val="20"/>
          <w:szCs w:val="20"/>
          <w:lang w:val="en-GB"/>
        </w:rPr>
      </w:pPr>
    </w:p>
    <w:p w14:paraId="67123312" w14:textId="77777777" w:rsidR="00AC0E72" w:rsidRDefault="00AC0E72" w:rsidP="00AC0E72">
      <w:pPr>
        <w:rPr>
          <w:lang w:val="en-GB"/>
        </w:rPr>
      </w:pPr>
    </w:p>
    <w:p w14:paraId="403E200B" w14:textId="16A732AB" w:rsidR="009320C8" w:rsidRDefault="00476C3F" w:rsidP="00AC0E72">
      <w:pPr>
        <w:rPr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F74C2" wp14:editId="614BCEAE">
                <wp:simplePos x="0" y="0"/>
                <wp:positionH relativeFrom="column">
                  <wp:posOffset>2217420</wp:posOffset>
                </wp:positionH>
                <wp:positionV relativeFrom="paragraph">
                  <wp:posOffset>845820</wp:posOffset>
                </wp:positionV>
                <wp:extent cx="2636520" cy="228600"/>
                <wp:effectExtent l="19050" t="1905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F1E16C" id="Rectangle 2" o:spid="_x0000_s1026" style="position:absolute;margin-left:174.6pt;margin-top:66.6pt;width:207.6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" filled="f" strokecolor="red" strokeweight="2.2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0F609DD0" wp14:editId="1EF79446">
            <wp:extent cx="6007735" cy="244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or capsid protein phylogenetic tree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F4CFF" w14:textId="77777777" w:rsidR="00AA601F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14:paraId="7FB996D1" w14:textId="374E0691" w:rsidR="00AA601F" w:rsidRPr="00C61931" w:rsidRDefault="00476C3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None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3C958" w14:textId="77777777" w:rsidR="004B446B" w:rsidRDefault="004B446B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449CF526" w14:textId="77777777" w:rsidR="004B446B" w:rsidRDefault="004B446B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A6490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A6490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378DF" w14:textId="77777777" w:rsidR="004B446B" w:rsidRDefault="004B446B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12A57DC0" w14:textId="77777777" w:rsidR="004B446B" w:rsidRDefault="004B446B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6B84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76C3F"/>
    <w:rsid w:val="004937AC"/>
    <w:rsid w:val="00494623"/>
    <w:rsid w:val="004A350D"/>
    <w:rsid w:val="004A3DAC"/>
    <w:rsid w:val="004A6F2D"/>
    <w:rsid w:val="004B0C50"/>
    <w:rsid w:val="004B446B"/>
    <w:rsid w:val="004B47D5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A6490"/>
    <w:rsid w:val="005B600C"/>
    <w:rsid w:val="005D0BFD"/>
    <w:rsid w:val="005D19C9"/>
    <w:rsid w:val="005D7EC4"/>
    <w:rsid w:val="005D7F24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43067"/>
    <w:rsid w:val="00650171"/>
    <w:rsid w:val="00685D58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041C"/>
    <w:rsid w:val="00764FA3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2500"/>
    <w:rsid w:val="00C06EE4"/>
    <w:rsid w:val="00C12C1B"/>
    <w:rsid w:val="00C15EC4"/>
    <w:rsid w:val="00C165C2"/>
    <w:rsid w:val="00C245DB"/>
    <w:rsid w:val="00C3224F"/>
    <w:rsid w:val="00C44DF4"/>
    <w:rsid w:val="00C46C65"/>
    <w:rsid w:val="00C54C4D"/>
    <w:rsid w:val="00C55862"/>
    <w:rsid w:val="00C64F92"/>
    <w:rsid w:val="00C67A98"/>
    <w:rsid w:val="00C7408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1562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4538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2018-05-15T08:31:00Z</dcterms:created>
  <dcterms:modified xsi:type="dcterms:W3CDTF">2018-05-15T08:31:00Z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