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64426F11" w:rsidR="00A174CC" w:rsidRDefault="000E658D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2023.025M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5E9068BB" w:rsidR="00A174CC" w:rsidRPr="000A146A" w:rsidRDefault="008815EE" w:rsidP="00FC2991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551C53" w:rsidRPr="00551C5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Create </w:t>
            </w:r>
            <w:r w:rsidR="00FC299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one</w:t>
            </w:r>
            <w:r w:rsidR="00551C53" w:rsidRPr="00551C5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new genus </w:t>
            </w:r>
            <w:r w:rsidR="00FC299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including one</w:t>
            </w:r>
            <w:r w:rsidR="00551C53" w:rsidRPr="00551C5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new species in family </w:t>
            </w:r>
            <w:r w:rsidR="00551C53" w:rsidRPr="00551C53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Filoviridae </w:t>
            </w:r>
            <w:r w:rsidR="00551C53" w:rsidRPr="00551C5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551C53" w:rsidRPr="00551C53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Mononegavirales</w:t>
            </w:r>
            <w:r w:rsidR="00551C53" w:rsidRPr="00551C5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551C53" w14:paraId="67E4419A" w14:textId="77777777" w:rsidTr="00551C53">
        <w:tc>
          <w:tcPr>
            <w:tcW w:w="4368" w:type="dxa"/>
            <w:shd w:val="clear" w:color="auto" w:fill="auto"/>
          </w:tcPr>
          <w:p w14:paraId="1D0EC94F" w14:textId="5D152252" w:rsidR="00A174CC" w:rsidRPr="00551C53" w:rsidRDefault="00551C5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51C53">
              <w:rPr>
                <w:rFonts w:ascii="Arial" w:hAnsi="Arial" w:cs="Arial"/>
                <w:sz w:val="22"/>
                <w:szCs w:val="22"/>
                <w:lang w:val="de-CH"/>
              </w:rPr>
              <w:t>Seuberlich T, Kuhn JH, S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chmidt-Posthaus H</w:t>
            </w:r>
          </w:p>
          <w:p w14:paraId="5B4DA008" w14:textId="77777777" w:rsidR="00A174CC" w:rsidRPr="00551C53" w:rsidRDefault="00A174CC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3B5FB61E" w:rsidR="00A174CC" w:rsidRPr="00551C53" w:rsidRDefault="0000000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hyperlink r:id="rId8" w:history="1">
              <w:r w:rsidR="00FC2991" w:rsidRPr="00335C89">
                <w:rPr>
                  <w:rStyle w:val="Hyperlink"/>
                  <w:rFonts w:ascii="Arial" w:hAnsi="Arial" w:cs="Arial"/>
                  <w:sz w:val="22"/>
                  <w:szCs w:val="22"/>
                  <w:lang w:val="de-CH"/>
                </w:rPr>
                <w:t>torsten.seuberlich@unibe.ch; kuhnjens@mail.nih.gov</w:t>
              </w:r>
            </w:hyperlink>
            <w:r w:rsidR="00551C53">
              <w:rPr>
                <w:rFonts w:ascii="Arial" w:hAnsi="Arial" w:cs="Arial"/>
                <w:sz w:val="22"/>
                <w:szCs w:val="22"/>
                <w:lang w:val="de-CH"/>
              </w:rPr>
              <w:t xml:space="preserve">; </w:t>
            </w:r>
            <w:hyperlink r:id="rId9" w:history="1">
              <w:r w:rsidR="00551C53" w:rsidRPr="002427DC">
                <w:rPr>
                  <w:rStyle w:val="Hyperlink"/>
                  <w:rFonts w:ascii="Arial" w:hAnsi="Arial" w:cs="Arial"/>
                  <w:sz w:val="22"/>
                  <w:szCs w:val="22"/>
                  <w:lang w:val="de-CH"/>
                </w:rPr>
                <w:t>heike.schmidt@unibe.ch</w:t>
              </w:r>
            </w:hyperlink>
            <w:r w:rsidR="00551C53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</w:p>
        </w:tc>
      </w:tr>
    </w:tbl>
    <w:p w14:paraId="66BE9775" w14:textId="0359241E" w:rsidR="00A174CC" w:rsidRPr="00551C53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2CD88578" w:rsidR="00A174CC" w:rsidRDefault="00551C53">
            <w:pPr>
              <w:rPr>
                <w:rFonts w:ascii="Arial" w:hAnsi="Arial" w:cs="Arial"/>
                <w:sz w:val="22"/>
                <w:szCs w:val="22"/>
              </w:rPr>
            </w:pPr>
            <w:r w:rsidRPr="00551C53">
              <w:rPr>
                <w:rFonts w:ascii="Arial" w:hAnsi="Arial" w:cs="Arial"/>
                <w:sz w:val="22"/>
                <w:szCs w:val="22"/>
              </w:rPr>
              <w:t>University of Bern, Switzerland [TS</w:t>
            </w:r>
            <w:r>
              <w:rPr>
                <w:rFonts w:ascii="Arial" w:hAnsi="Arial" w:cs="Arial"/>
                <w:sz w:val="22"/>
                <w:szCs w:val="22"/>
              </w:rPr>
              <w:t>, HSP]</w:t>
            </w:r>
          </w:p>
          <w:p w14:paraId="1033F5C1" w14:textId="1BB862D0" w:rsidR="00A174CC" w:rsidRDefault="00FC2991" w:rsidP="00FC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NIH/NIAID/DCR/</w:t>
            </w:r>
            <w:r w:rsidR="005F15E8">
              <w:rPr>
                <w:rFonts w:ascii="Arial" w:hAnsi="Arial" w:cs="Arial"/>
                <w:sz w:val="22"/>
                <w:szCs w:val="22"/>
              </w:rPr>
              <w:t>I</w:t>
            </w:r>
            <w:r w:rsidR="00551C53" w:rsidRPr="00551C53">
              <w:rPr>
                <w:rFonts w:ascii="Arial" w:hAnsi="Arial" w:cs="Arial"/>
                <w:sz w:val="22"/>
                <w:szCs w:val="22"/>
              </w:rPr>
              <w:t>ntegrated Research Facility at Fort Detrick</w:t>
            </w:r>
            <w:r w:rsidR="00551C53">
              <w:rPr>
                <w:rFonts w:ascii="Arial" w:hAnsi="Arial" w:cs="Arial"/>
                <w:sz w:val="22"/>
                <w:szCs w:val="22"/>
              </w:rPr>
              <w:t>, USA [JHK]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70262A91" w:rsidR="00437970" w:rsidRDefault="00551C53" w:rsidP="00FC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Seuberlich</w:t>
            </w:r>
            <w:r w:rsidR="002F1777">
              <w:rPr>
                <w:rFonts w:ascii="Arial" w:hAnsi="Arial" w:cs="Arial"/>
                <w:sz w:val="22"/>
                <w:szCs w:val="22"/>
              </w:rPr>
              <w:t xml:space="preserve"> T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5232FE0A" w:rsidR="00A174CC" w:rsidRDefault="00FC2991" w:rsidP="00FC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551C53" w:rsidRPr="00551C5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Filoviridae </w:t>
            </w:r>
            <w:r w:rsidR="00551C53">
              <w:rPr>
                <w:rFonts w:ascii="Arial" w:hAnsi="Arial" w:cs="Arial"/>
                <w:sz w:val="22"/>
                <w:szCs w:val="22"/>
              </w:rPr>
              <w:t>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ECC5951" w:rsidR="0037243A" w:rsidRDefault="00FC2991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Pr="00FC2991">
              <w:rPr>
                <w:rFonts w:ascii="Arial" w:hAnsi="Arial" w:cs="Arial"/>
                <w:i/>
                <w:iCs/>
                <w:sz w:val="22"/>
                <w:szCs w:val="22"/>
              </w:rPr>
              <w:t>Filoviridae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05A5939A" w:rsidR="0037243A" w:rsidRDefault="002F1777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4EC5D82B" w14:textId="033BE4C1" w:rsidR="0037243A" w:rsidRDefault="002F1777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2BC37F21" w:rsidR="0037243A" w:rsidRDefault="002F1777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008B8106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  <w:r w:rsidR="00551C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111D847D" w14:textId="02E17BC1" w:rsidR="00A174CC" w:rsidRPr="000A146A" w:rsidRDefault="00FC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624F7364" w:rsidR="00A174CC" w:rsidRDefault="00FC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auto" w:fill="auto"/>
          </w:tcPr>
          <w:p w14:paraId="5FB9B708" w14:textId="5E957DD8" w:rsidR="00A174CC" w:rsidRDefault="00FC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977" w:type="dxa"/>
            <w:shd w:val="clear" w:color="auto" w:fill="auto"/>
          </w:tcPr>
          <w:p w14:paraId="72AF85A5" w14:textId="2809B8B0" w:rsidR="00A174CC" w:rsidRDefault="00FC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7C18AAD" w:rsidR="00A174CC" w:rsidRDefault="00FC29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F177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2F1777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3632DA" w14:textId="77777777" w:rsidR="00FC2991" w:rsidRDefault="00FC2991">
      <w:pPr>
        <w:spacing w:before="120" w:after="120"/>
        <w:rPr>
          <w:rFonts w:ascii="Arial" w:hAnsi="Arial" w:cs="Arial"/>
          <w:b/>
        </w:rPr>
      </w:pPr>
    </w:p>
    <w:p w14:paraId="172E3080" w14:textId="7649D791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9C940F" w14:textId="77777777" w:rsidR="00FC2991" w:rsidRDefault="00FC2991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16FC42D5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C2991" w14:paraId="73DA8099" w14:textId="77777777" w:rsidTr="000A4021">
        <w:tc>
          <w:tcPr>
            <w:tcW w:w="9072" w:type="dxa"/>
            <w:shd w:val="clear" w:color="auto" w:fill="auto"/>
          </w:tcPr>
          <w:p w14:paraId="2F9EA2DB" w14:textId="457E3D23" w:rsidR="00FC2991" w:rsidRDefault="00FC2991" w:rsidP="000A40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55BF141F" w14:textId="77777777" w:rsidR="00A174CC" w:rsidRDefault="00A174CC"/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5320F0C8" w:rsidR="00A174CC" w:rsidRDefault="00A9270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9270C">
              <w:rPr>
                <w:rFonts w:ascii="Arial" w:hAnsi="Arial" w:cs="Arial"/>
                <w:bCs/>
                <w:sz w:val="22"/>
                <w:szCs w:val="22"/>
              </w:rPr>
              <w:t>2023.</w:t>
            </w:r>
            <w:r w:rsidR="000E658D">
              <w:rPr>
                <w:rFonts w:ascii="Arial" w:hAnsi="Arial" w:cs="Arial"/>
                <w:bCs/>
                <w:sz w:val="22"/>
                <w:szCs w:val="22"/>
              </w:rPr>
              <w:t>025</w:t>
            </w:r>
            <w:r w:rsidRPr="00A9270C">
              <w:rPr>
                <w:rFonts w:ascii="Arial" w:hAnsi="Arial" w:cs="Arial"/>
                <w:bCs/>
                <w:sz w:val="22"/>
                <w:szCs w:val="22"/>
              </w:rPr>
              <w:t>M.</w:t>
            </w:r>
            <w:r w:rsidR="002F1777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9270C">
              <w:rPr>
                <w:rFonts w:ascii="Arial" w:hAnsi="Arial" w:cs="Arial"/>
                <w:bCs/>
                <w:sz w:val="22"/>
                <w:szCs w:val="22"/>
              </w:rPr>
              <w:t>.v1.Filoviridae_1ng_1nsp</w:t>
            </w:r>
            <w:r w:rsidR="000E658D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661E4A7C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2132D5F2" w:rsidR="00A174CC" w:rsidRPr="00FC2991" w:rsidRDefault="00551C5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1C53">
              <w:rPr>
                <w:rFonts w:ascii="Arial" w:hAnsi="Arial" w:cs="Arial"/>
                <w:bCs/>
                <w:sz w:val="22"/>
                <w:szCs w:val="22"/>
              </w:rPr>
              <w:t xml:space="preserve">We have 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>determined the near-complete sequence of a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 xml:space="preserve"> genome of a new virus, Lötschberg </w:t>
            </w:r>
            <w:r w:rsidR="007C66A2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>irus (LTBV)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 xml:space="preserve"> in European 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>erch (</w:t>
            </w:r>
            <w:r w:rsidRPr="00547EB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Perca fluviatilis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 xml:space="preserve"> Linnaeus, 1758) with </w:t>
            </w:r>
            <w:r w:rsidR="00E71D71">
              <w:rPr>
                <w:rFonts w:ascii="Arial" w:hAnsi="Arial" w:cs="Arial"/>
                <w:bCs/>
                <w:sz w:val="22"/>
                <w:szCs w:val="22"/>
              </w:rPr>
              <w:t>sequence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 xml:space="preserve"> similarit</w:t>
            </w:r>
            <w:r w:rsidR="00E71D71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71D71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 xml:space="preserve">members of 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 xml:space="preserve">mononegaviral </w:t>
            </w:r>
            <w:r w:rsidRPr="00551C53">
              <w:rPr>
                <w:rFonts w:ascii="Arial" w:hAnsi="Arial" w:cs="Arial"/>
                <w:bCs/>
                <w:sz w:val="22"/>
                <w:szCs w:val="22"/>
              </w:rPr>
              <w:t xml:space="preserve">family </w:t>
            </w:r>
            <w:r w:rsidRPr="00551C5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Filoviridae. </w:t>
            </w:r>
            <w:r w:rsidR="00C068F1">
              <w:rPr>
                <w:rFonts w:ascii="Arial" w:hAnsi="Arial" w:cs="Arial"/>
                <w:bCs/>
                <w:sz w:val="22"/>
                <w:szCs w:val="22"/>
              </w:rPr>
              <w:t xml:space="preserve">Based 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>on</w:t>
            </w:r>
            <w:r w:rsidR="00C068F1">
              <w:rPr>
                <w:rFonts w:ascii="Arial" w:hAnsi="Arial" w:cs="Arial"/>
                <w:bCs/>
                <w:sz w:val="22"/>
                <w:szCs w:val="22"/>
              </w:rPr>
              <w:t xml:space="preserve"> sequence similarity data and the 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 xml:space="preserve">current </w:t>
            </w:r>
            <w:r w:rsidR="00C068F1">
              <w:rPr>
                <w:rFonts w:ascii="Arial" w:hAnsi="Arial" w:cs="Arial"/>
                <w:bCs/>
                <w:sz w:val="22"/>
                <w:szCs w:val="22"/>
              </w:rPr>
              <w:t xml:space="preserve">demarcation criteria for filovirid 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>taxa</w:t>
            </w:r>
            <w:r w:rsidR="00C068F1">
              <w:rPr>
                <w:rFonts w:ascii="Arial" w:hAnsi="Arial" w:cs="Arial"/>
                <w:bCs/>
                <w:sz w:val="22"/>
                <w:szCs w:val="22"/>
              </w:rPr>
              <w:t xml:space="preserve">, we propose to establish a new 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 xml:space="preserve">filovirid </w:t>
            </w:r>
            <w:r w:rsidR="00C068F1">
              <w:rPr>
                <w:rFonts w:ascii="Arial" w:hAnsi="Arial" w:cs="Arial"/>
                <w:bCs/>
                <w:sz w:val="22"/>
                <w:szCs w:val="22"/>
              </w:rPr>
              <w:t>genus (“</w:t>
            </w:r>
            <w:r w:rsidR="00C068F1" w:rsidRPr="00C068F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</w:t>
            </w:r>
            <w:r w:rsidR="00A9270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oe</w:t>
            </w:r>
            <w:r w:rsidR="00C068F1" w:rsidRPr="00C068F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bevirus</w:t>
            </w:r>
            <w:r w:rsidR="00C068F1">
              <w:rPr>
                <w:rFonts w:ascii="Arial" w:hAnsi="Arial" w:cs="Arial"/>
                <w:bCs/>
                <w:sz w:val="22"/>
                <w:szCs w:val="22"/>
              </w:rPr>
              <w:t xml:space="preserve">”) </w:t>
            </w:r>
            <w:r w:rsidR="00A9270C">
              <w:rPr>
                <w:rFonts w:ascii="Arial" w:hAnsi="Arial" w:cs="Arial"/>
                <w:bCs/>
                <w:sz w:val="22"/>
                <w:szCs w:val="22"/>
              </w:rPr>
              <w:t>including a</w:t>
            </w:r>
            <w:r w:rsidR="00C068F1">
              <w:rPr>
                <w:rFonts w:ascii="Arial" w:hAnsi="Arial" w:cs="Arial"/>
                <w:bCs/>
                <w:sz w:val="22"/>
                <w:szCs w:val="22"/>
              </w:rPr>
              <w:t xml:space="preserve"> new species (“</w:t>
            </w:r>
            <w:r w:rsidR="00C068F1" w:rsidRPr="00C068F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</w:t>
            </w:r>
            <w:r w:rsidR="00A9270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oe</w:t>
            </w:r>
            <w:r w:rsidR="00C068F1" w:rsidRPr="00C068F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bevirus percae</w:t>
            </w:r>
            <w:r w:rsidR="00C068F1">
              <w:rPr>
                <w:rFonts w:ascii="Arial" w:hAnsi="Arial" w:cs="Arial"/>
                <w:bCs/>
                <w:sz w:val="22"/>
                <w:szCs w:val="22"/>
              </w:rPr>
              <w:t>”)</w:t>
            </w:r>
            <w:r w:rsidR="00C068F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577F43E6" w:rsidR="00A174CC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43D684B5" w:rsidR="00A174CC" w:rsidRDefault="00C068F1" w:rsidP="00F06EA0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By high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throughput sequencing</w:t>
                  </w:r>
                  <w:r w:rsidR="00A9270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we obtained a scaffold of 13,584 nt with a GC content of 47.7% and an average depth coverage of 12.8× from RNA extracts of po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led organ samples of European </w:t>
                  </w:r>
                  <w:r w:rsidR="00A9270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erch</w:t>
                  </w:r>
                  <w:r w:rsidR="00A9270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A9270C" w:rsidRPr="00551C5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  <w:r w:rsidR="00A9270C" w:rsidRPr="00547EB7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Perca fluviatilis</w:t>
                  </w:r>
                  <w:r w:rsidR="00A9270C" w:rsidRPr="00551C5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Linnaeus, 1758)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06EA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[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="00F06EA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The sequence contain</w:t>
                  </w:r>
                  <w:r w:rsidR="00A9270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seven open reading frames ORFs (&gt; 70 codons), organized similarly to those of filovirid oblaviruses and thamnoviruses, encoding filovirid-typical proteins: nucleoprotein (NP), polymerase co-factor (VP35), glycoprotein (GP</w:t>
                  </w:r>
                  <w:r w:rsidRPr="00A9270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vertAlign w:val="subscript"/>
                    </w:rPr>
                    <w:t>1,2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), transcriptional activator (VP30), and large protein (L)—plus two new proteins of unknown function. The 3' and 5' termini and the terminal ORFs remained incomplete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(Table)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We designated this new filovirus as Lötschberg virus (LTBV)</w:t>
                  </w:r>
                  <w:r w:rsidR="00A9270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[1]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Comparison of LTBV NP, VP35, GP, VP30, and L amino</w:t>
                  </w:r>
                  <w:r w:rsidR="0045219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acid sequences with the homologous Fiwi virus, Huángjiāo virus, Kander virus, and Oberland virus proteins revealed 23–48% sequence identity. P</w:t>
                  </w:r>
                  <w:r w:rsidR="005F15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irwise Sequence Comparison (PASC; </w:t>
                  </w:r>
                  <w:hyperlink r:id="rId10" w:history="1">
                    <w:r w:rsidR="00A9270C" w:rsidRPr="00871EE9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https://www.ncbi.nlm.nih.gov/sutils/pasc/viridty.cgi?textpage=overview</w:t>
                    </w:r>
                  </w:hyperlink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 of </w:t>
                  </w:r>
                  <w:r w:rsidR="00A9270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near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-complete genome sequences indicates that LTBV is most closely related to thamnoviruses (up to 40% PASC similarity), which is also supported by phylogenetic analysis (Figure). Based on the current demarcation criteria for filovirid species (≥23% PASC divergence) and genera (≥55% PASC divergence) </w:t>
                  </w:r>
                  <w:r w:rsidR="00F06EA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[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</w:t>
                  </w:r>
                  <w:r w:rsidR="00F06EA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LTBV represents a member of a new species and a new genus within the family </w:t>
                  </w:r>
                  <w:r w:rsidRPr="00F06EA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Filoviridae</w:t>
                  </w:r>
                  <w:r w:rsidRPr="00C068F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E63EA34" w14:textId="77777777" w:rsidR="00A9270C" w:rsidRDefault="00A9270C" w:rsidP="00C068F1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3697383B" w14:textId="77777777" w:rsidR="00A9270C" w:rsidRDefault="00A9270C">
      <w:pPr>
        <w:rPr>
          <w:rFonts w:ascii="Arial" w:eastAsia="Times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</w:rPr>
        <w:br w:type="page"/>
      </w:r>
    </w:p>
    <w:p w14:paraId="574FE57D" w14:textId="7A1C9BF0" w:rsidR="00A174CC" w:rsidRDefault="008815EE" w:rsidP="00C068F1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38851324" w14:textId="77777777" w:rsidR="002139F3" w:rsidRPr="00C068F1" w:rsidRDefault="002139F3" w:rsidP="00C068F1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5769DE5" w14:textId="77777777" w:rsidR="00C068F1" w:rsidRDefault="00C068F1" w:rsidP="00C068F1">
      <w:pPr>
        <w:pStyle w:val="NoSpacing"/>
        <w:rPr>
          <w:iCs/>
        </w:rPr>
      </w:pPr>
      <w:r>
        <w:rPr>
          <w:iCs/>
        </w:rPr>
        <w:t>Table: Comparison of the reported genomic sequence lengths and the length of the open reading frames (ORFs) of Lötschberg virus with those of related fish filovirids.</w:t>
      </w:r>
    </w:p>
    <w:p w14:paraId="42944C9B" w14:textId="77777777" w:rsidR="00C068F1" w:rsidRDefault="00C068F1" w:rsidP="00C068F1">
      <w:pPr>
        <w:pStyle w:val="NoSpacing"/>
        <w:rPr>
          <w:iCs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90"/>
        <w:gridCol w:w="790"/>
        <w:gridCol w:w="790"/>
        <w:gridCol w:w="790"/>
        <w:gridCol w:w="790"/>
        <w:gridCol w:w="790"/>
        <w:gridCol w:w="791"/>
      </w:tblGrid>
      <w:tr w:rsidR="00C068F1" w:rsidRPr="002B7C50" w14:paraId="5F55F242" w14:textId="77777777" w:rsidTr="00AB55D0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4BBE29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Virus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CAFB4B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Reported genomic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00F6">
              <w:rPr>
                <w:b/>
                <w:sz w:val="20"/>
                <w:szCs w:val="20"/>
              </w:rPr>
              <w:t>sequence length</w:t>
            </w:r>
            <w:r>
              <w:rPr>
                <w:b/>
                <w:sz w:val="20"/>
                <w:szCs w:val="20"/>
              </w:rPr>
              <w:t xml:space="preserve"> (nt)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74243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reading frame (ORF) length (nt)</w:t>
            </w:r>
          </w:p>
        </w:tc>
      </w:tr>
      <w:tr w:rsidR="00C068F1" w:rsidRPr="004D00F6" w14:paraId="7A8B6D9F" w14:textId="77777777" w:rsidTr="00AB55D0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3BB9B8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50CFB1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C78EB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ORF 1</w:t>
            </w:r>
          </w:p>
          <w:p w14:paraId="1EF78B04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CE269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ORF 2</w:t>
            </w:r>
          </w:p>
          <w:p w14:paraId="32A69456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(NP)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577F1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ORF 3</w:t>
            </w:r>
          </w:p>
          <w:p w14:paraId="70272413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(VP35)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FF0B4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ORF 4</w:t>
            </w:r>
          </w:p>
          <w:p w14:paraId="1AE1F05A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E60B2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ORF 5</w:t>
            </w:r>
          </w:p>
          <w:p w14:paraId="506068C0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(GP</w:t>
            </w:r>
            <w:r w:rsidRPr="004D00F6">
              <w:rPr>
                <w:b/>
                <w:sz w:val="20"/>
                <w:szCs w:val="20"/>
                <w:vertAlign w:val="subscript"/>
              </w:rPr>
              <w:t>1,2</w:t>
            </w:r>
            <w:r w:rsidRPr="004D00F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F70A8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ORF 6</w:t>
            </w:r>
          </w:p>
          <w:p w14:paraId="08B1ADE2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(VP30)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86A34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>ORF 7</w:t>
            </w:r>
          </w:p>
          <w:p w14:paraId="77BF2215" w14:textId="77777777" w:rsidR="00C068F1" w:rsidRPr="004D00F6" w:rsidRDefault="00C068F1" w:rsidP="00AB55D0">
            <w:pPr>
              <w:rPr>
                <w:b/>
                <w:sz w:val="20"/>
                <w:szCs w:val="20"/>
              </w:rPr>
            </w:pPr>
            <w:r w:rsidRPr="004D00F6">
              <w:rPr>
                <w:b/>
                <w:sz w:val="20"/>
                <w:szCs w:val="20"/>
              </w:rPr>
              <w:t xml:space="preserve">(L) </w:t>
            </w:r>
          </w:p>
        </w:tc>
      </w:tr>
      <w:tr w:rsidR="00C068F1" w:rsidRPr="003C6D73" w14:paraId="5EB55427" w14:textId="77777777" w:rsidTr="00AB55D0">
        <w:tc>
          <w:tcPr>
            <w:tcW w:w="1668" w:type="dxa"/>
            <w:shd w:val="clear" w:color="auto" w:fill="auto"/>
          </w:tcPr>
          <w:p w14:paraId="51F95F7A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Lötschberg virus</w:t>
            </w:r>
          </w:p>
        </w:tc>
        <w:tc>
          <w:tcPr>
            <w:tcW w:w="1984" w:type="dxa"/>
            <w:shd w:val="clear" w:color="auto" w:fill="auto"/>
          </w:tcPr>
          <w:p w14:paraId="66D0A8C1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</w:t>
            </w:r>
            <w:r w:rsidRPr="003C6D73">
              <w:rPr>
                <w:sz w:val="20"/>
                <w:szCs w:val="20"/>
              </w:rPr>
              <w:t>584</w:t>
            </w:r>
            <w:r w:rsidRPr="004D00F6">
              <w:rPr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90" w:type="dxa"/>
            <w:shd w:val="clear" w:color="auto" w:fill="auto"/>
          </w:tcPr>
          <w:p w14:paraId="6DE6E15B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336</w:t>
            </w:r>
            <w:r w:rsidRPr="004D00F6">
              <w:rPr>
                <w:i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0" w:type="dxa"/>
            <w:shd w:val="clear" w:color="auto" w:fill="auto"/>
          </w:tcPr>
          <w:p w14:paraId="4D6059D1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1200</w:t>
            </w:r>
          </w:p>
        </w:tc>
        <w:tc>
          <w:tcPr>
            <w:tcW w:w="790" w:type="dxa"/>
            <w:shd w:val="clear" w:color="auto" w:fill="auto"/>
          </w:tcPr>
          <w:p w14:paraId="04628736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1680</w:t>
            </w:r>
          </w:p>
        </w:tc>
        <w:tc>
          <w:tcPr>
            <w:tcW w:w="790" w:type="dxa"/>
            <w:shd w:val="clear" w:color="auto" w:fill="auto"/>
          </w:tcPr>
          <w:p w14:paraId="52E9E5C1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294</w:t>
            </w:r>
          </w:p>
        </w:tc>
        <w:tc>
          <w:tcPr>
            <w:tcW w:w="790" w:type="dxa"/>
            <w:shd w:val="clear" w:color="auto" w:fill="auto"/>
          </w:tcPr>
          <w:p w14:paraId="721FED5C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1800</w:t>
            </w:r>
          </w:p>
        </w:tc>
        <w:tc>
          <w:tcPr>
            <w:tcW w:w="790" w:type="dxa"/>
            <w:shd w:val="clear" w:color="auto" w:fill="auto"/>
          </w:tcPr>
          <w:p w14:paraId="4DE1D0DE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1206</w:t>
            </w:r>
          </w:p>
        </w:tc>
        <w:tc>
          <w:tcPr>
            <w:tcW w:w="791" w:type="dxa"/>
            <w:shd w:val="clear" w:color="auto" w:fill="auto"/>
          </w:tcPr>
          <w:p w14:paraId="6B16A498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6215</w:t>
            </w:r>
            <w:r w:rsidRPr="004D00F6">
              <w:rPr>
                <w:i/>
                <w:sz w:val="20"/>
                <w:szCs w:val="20"/>
                <w:vertAlign w:val="superscript"/>
              </w:rPr>
              <w:t>b</w:t>
            </w:r>
          </w:p>
        </w:tc>
      </w:tr>
      <w:tr w:rsidR="00C068F1" w:rsidRPr="003C6D73" w14:paraId="5A4F8755" w14:textId="77777777" w:rsidTr="00AB55D0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6D6A3C99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Oberland virus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FA3B105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</w:t>
            </w:r>
            <w:r w:rsidRPr="003C6D73">
              <w:rPr>
                <w:sz w:val="20"/>
                <w:szCs w:val="20"/>
              </w:rPr>
              <w:t>682</w:t>
            </w:r>
            <w:r w:rsidRPr="004D00F6">
              <w:rPr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</w:tcPr>
          <w:p w14:paraId="65CAD4F8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466</w:t>
            </w:r>
            <w:r w:rsidRPr="004D00F6">
              <w:rPr>
                <w:i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</w:tcPr>
          <w:p w14:paraId="31592B3A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1200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</w:tcPr>
          <w:p w14:paraId="44DC1095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1968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</w:tcPr>
          <w:p w14:paraId="49750D07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957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</w:tcPr>
          <w:p w14:paraId="2A81AAC6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1263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</w:tcPr>
          <w:p w14:paraId="4B81309E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1152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</w:tcPr>
          <w:p w14:paraId="3632EA33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6656</w:t>
            </w:r>
            <w:r w:rsidRPr="004D00F6">
              <w:rPr>
                <w:i/>
                <w:sz w:val="20"/>
                <w:szCs w:val="20"/>
                <w:vertAlign w:val="superscript"/>
              </w:rPr>
              <w:t>b</w:t>
            </w:r>
          </w:p>
        </w:tc>
      </w:tr>
      <w:tr w:rsidR="00C068F1" w:rsidRPr="003C6D73" w14:paraId="058F80F7" w14:textId="77777777" w:rsidTr="00AB55D0">
        <w:tc>
          <w:tcPr>
            <w:tcW w:w="1668" w:type="dxa"/>
            <w:shd w:val="clear" w:color="auto" w:fill="auto"/>
          </w:tcPr>
          <w:p w14:paraId="3807BBCB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Kander virus</w:t>
            </w:r>
          </w:p>
        </w:tc>
        <w:tc>
          <w:tcPr>
            <w:tcW w:w="1984" w:type="dxa"/>
            <w:shd w:val="clear" w:color="auto" w:fill="auto"/>
          </w:tcPr>
          <w:p w14:paraId="1BBC3483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</w:t>
            </w:r>
            <w:r w:rsidRPr="003C6D73">
              <w:rPr>
                <w:sz w:val="20"/>
                <w:szCs w:val="20"/>
              </w:rPr>
              <w:t>849</w:t>
            </w:r>
            <w:r w:rsidRPr="002B7C50">
              <w:rPr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90" w:type="dxa"/>
            <w:shd w:val="clear" w:color="auto" w:fill="auto"/>
          </w:tcPr>
          <w:p w14:paraId="1E37504C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654</w:t>
            </w:r>
            <w:r w:rsidRPr="004D00F6">
              <w:rPr>
                <w:i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90" w:type="dxa"/>
            <w:shd w:val="clear" w:color="auto" w:fill="auto"/>
          </w:tcPr>
          <w:p w14:paraId="4B102AC2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1206</w:t>
            </w:r>
          </w:p>
        </w:tc>
        <w:tc>
          <w:tcPr>
            <w:tcW w:w="790" w:type="dxa"/>
            <w:shd w:val="clear" w:color="auto" w:fill="auto"/>
          </w:tcPr>
          <w:p w14:paraId="46452254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1665</w:t>
            </w:r>
          </w:p>
        </w:tc>
        <w:tc>
          <w:tcPr>
            <w:tcW w:w="790" w:type="dxa"/>
            <w:shd w:val="clear" w:color="auto" w:fill="auto"/>
          </w:tcPr>
          <w:p w14:paraId="6542BFCA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279</w:t>
            </w:r>
          </w:p>
        </w:tc>
        <w:tc>
          <w:tcPr>
            <w:tcW w:w="790" w:type="dxa"/>
            <w:shd w:val="clear" w:color="auto" w:fill="auto"/>
          </w:tcPr>
          <w:p w14:paraId="4CC488F7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1791</w:t>
            </w:r>
          </w:p>
        </w:tc>
        <w:tc>
          <w:tcPr>
            <w:tcW w:w="790" w:type="dxa"/>
            <w:shd w:val="clear" w:color="auto" w:fill="auto"/>
          </w:tcPr>
          <w:p w14:paraId="2AC74ABE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1374</w:t>
            </w:r>
          </w:p>
        </w:tc>
        <w:tc>
          <w:tcPr>
            <w:tcW w:w="791" w:type="dxa"/>
            <w:shd w:val="clear" w:color="auto" w:fill="auto"/>
          </w:tcPr>
          <w:p w14:paraId="3A8B1ACA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6373</w:t>
            </w:r>
            <w:r w:rsidRPr="004D00F6">
              <w:rPr>
                <w:i/>
                <w:sz w:val="20"/>
                <w:szCs w:val="20"/>
                <w:vertAlign w:val="superscript"/>
              </w:rPr>
              <w:t>b</w:t>
            </w:r>
          </w:p>
        </w:tc>
      </w:tr>
      <w:tr w:rsidR="00C068F1" w:rsidRPr="003C6D73" w14:paraId="30515B41" w14:textId="77777777" w:rsidTr="00AB55D0"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6D534571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Fiwi virus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2E9BE55B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</w:t>
            </w:r>
            <w:r w:rsidRPr="003C6D73">
              <w:rPr>
                <w:sz w:val="20"/>
                <w:szCs w:val="20"/>
              </w:rPr>
              <w:t>764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2DBA9DB7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468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6B413E29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1203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40FA8C14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1662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66DCA55E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276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39C0F9A4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1860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3B35D109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1077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auto"/>
          </w:tcPr>
          <w:p w14:paraId="1AA1128D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6435</w:t>
            </w:r>
          </w:p>
        </w:tc>
      </w:tr>
      <w:tr w:rsidR="00C068F1" w:rsidRPr="003C6D73" w14:paraId="0EF7ECD9" w14:textId="77777777" w:rsidTr="00AB55D0"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2690A6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Huangjao virus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80773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</w:t>
            </w:r>
            <w:r w:rsidRPr="003C6D73">
              <w:rPr>
                <w:sz w:val="20"/>
                <w:szCs w:val="20"/>
              </w:rPr>
              <w:t>280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9283C5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666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D5F0DD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1215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860F06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1686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FB309F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273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851CA0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1881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A8104D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1185</w:t>
            </w:r>
          </w:p>
        </w:tc>
        <w:tc>
          <w:tcPr>
            <w:tcW w:w="7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861C49" w14:textId="77777777" w:rsidR="00C068F1" w:rsidRPr="003C6D73" w:rsidRDefault="00C068F1" w:rsidP="00AB55D0">
            <w:pPr>
              <w:rPr>
                <w:sz w:val="20"/>
                <w:szCs w:val="20"/>
              </w:rPr>
            </w:pPr>
            <w:r w:rsidRPr="003C6D73">
              <w:rPr>
                <w:sz w:val="20"/>
                <w:szCs w:val="20"/>
              </w:rPr>
              <w:t>6441</w:t>
            </w:r>
          </w:p>
        </w:tc>
      </w:tr>
    </w:tbl>
    <w:p w14:paraId="5845E984" w14:textId="77777777" w:rsidR="00C068F1" w:rsidRDefault="00C068F1" w:rsidP="00C068F1">
      <w:pPr>
        <w:pStyle w:val="NoSpacing"/>
        <w:rPr>
          <w:iCs/>
        </w:rPr>
      </w:pPr>
      <w:r w:rsidRPr="00125921">
        <w:rPr>
          <w:vertAlign w:val="superscript"/>
        </w:rPr>
        <w:t>a</w:t>
      </w:r>
      <w:r>
        <w:t>near-complete</w:t>
      </w:r>
      <w:r>
        <w:rPr>
          <w:iCs/>
        </w:rPr>
        <w:t xml:space="preserve"> genome sequence</w:t>
      </w:r>
    </w:p>
    <w:p w14:paraId="0D1C5EFF" w14:textId="77777777" w:rsidR="00C068F1" w:rsidRPr="004D00F6" w:rsidRDefault="00C068F1" w:rsidP="00C068F1">
      <w:pPr>
        <w:pStyle w:val="NoSpacing"/>
        <w:rPr>
          <w:iCs/>
        </w:rPr>
      </w:pPr>
      <w:r w:rsidRPr="002B7C50">
        <w:rPr>
          <w:i/>
          <w:iCs/>
          <w:vertAlign w:val="superscript"/>
        </w:rPr>
        <w:t>b</w:t>
      </w:r>
      <w:r>
        <w:rPr>
          <w:iCs/>
        </w:rPr>
        <w:t>incomplete open reading frame</w:t>
      </w:r>
    </w:p>
    <w:p w14:paraId="05B1E2B6" w14:textId="77777777" w:rsidR="002139F3" w:rsidRDefault="002139F3" w:rsidP="00C068F1">
      <w:pPr>
        <w:pStyle w:val="NoSpacing"/>
        <w:rPr>
          <w:iCs/>
        </w:rPr>
      </w:pPr>
    </w:p>
    <w:p w14:paraId="5179E785" w14:textId="77777777" w:rsidR="002139F3" w:rsidRDefault="002139F3" w:rsidP="00C068F1">
      <w:pPr>
        <w:pStyle w:val="NoSpacing"/>
        <w:rPr>
          <w:iCs/>
        </w:rPr>
      </w:pPr>
    </w:p>
    <w:p w14:paraId="26CCE19C" w14:textId="77777777" w:rsidR="002139F3" w:rsidRDefault="002139F3" w:rsidP="00C068F1">
      <w:pPr>
        <w:pStyle w:val="NoSpacing"/>
        <w:rPr>
          <w:iCs/>
        </w:rPr>
      </w:pPr>
    </w:p>
    <w:p w14:paraId="6E6CA9E4" w14:textId="77777777" w:rsidR="00751E27" w:rsidRDefault="00751E27" w:rsidP="00C068F1">
      <w:pPr>
        <w:pStyle w:val="NoSpacing"/>
        <w:rPr>
          <w:iCs/>
        </w:rPr>
      </w:pPr>
    </w:p>
    <w:p w14:paraId="7D5243F7" w14:textId="77777777" w:rsidR="00751E27" w:rsidRDefault="00751E27" w:rsidP="00C068F1">
      <w:pPr>
        <w:pStyle w:val="NoSpacing"/>
        <w:rPr>
          <w:iCs/>
        </w:rPr>
      </w:pPr>
    </w:p>
    <w:p w14:paraId="058B03A2" w14:textId="77777777" w:rsidR="00751E27" w:rsidRDefault="00751E27" w:rsidP="00C068F1">
      <w:pPr>
        <w:pStyle w:val="NoSpacing"/>
        <w:rPr>
          <w:iCs/>
        </w:rPr>
      </w:pPr>
    </w:p>
    <w:p w14:paraId="55E2AFE0" w14:textId="5806522A" w:rsidR="00C068F1" w:rsidRDefault="00C068F1" w:rsidP="00C068F1">
      <w:pPr>
        <w:pStyle w:val="NoSpacing"/>
        <w:rPr>
          <w:iCs/>
        </w:rPr>
      </w:pPr>
      <w:r w:rsidRPr="00C068F1">
        <w:rPr>
          <w:iCs/>
        </w:rPr>
        <w:t>Figure:</w:t>
      </w:r>
      <w:r>
        <w:rPr>
          <w:iCs/>
        </w:rPr>
        <w:t xml:space="preserve"> Phylogenetic position of L</w:t>
      </w:r>
      <w:r w:rsidRPr="007E00EE">
        <w:rPr>
          <w:iCs/>
          <w:lang w:val="en-GB"/>
        </w:rPr>
        <w:t>ö</w:t>
      </w:r>
      <w:r>
        <w:rPr>
          <w:iCs/>
        </w:rPr>
        <w:t xml:space="preserve">tschberg virus (LTBV) in the mononegaviral family </w:t>
      </w:r>
      <w:r>
        <w:rPr>
          <w:i/>
          <w:iCs/>
        </w:rPr>
        <w:t>F</w:t>
      </w:r>
      <w:r w:rsidRPr="00342E66">
        <w:rPr>
          <w:i/>
          <w:iCs/>
        </w:rPr>
        <w:t>iloviridae</w:t>
      </w:r>
      <w:r>
        <w:rPr>
          <w:iCs/>
        </w:rPr>
        <w:t>. The neighbor-joining tree was built based on near-complete genome sequences and inferred with the Geneious (Biomatters) consensus tree builder (Jukes-Cantor model; 5,000 bootstraps). GenBank accession numbers are indicated for each sequence at branch tips.</w:t>
      </w:r>
    </w:p>
    <w:p w14:paraId="6E882815" w14:textId="77777777" w:rsidR="002139F3" w:rsidRDefault="002139F3" w:rsidP="00C068F1">
      <w:pPr>
        <w:pStyle w:val="NoSpacing"/>
        <w:rPr>
          <w:iCs/>
        </w:rPr>
      </w:pPr>
    </w:p>
    <w:p w14:paraId="32870D05" w14:textId="77777777" w:rsidR="00C068F1" w:rsidRDefault="00C068F1" w:rsidP="00C068F1">
      <w:pPr>
        <w:pStyle w:val="NoSpacing"/>
        <w:rPr>
          <w:iCs/>
        </w:rPr>
      </w:pPr>
    </w:p>
    <w:p w14:paraId="05F079E8" w14:textId="462493FA" w:rsidR="00C068F1" w:rsidRDefault="00C068F1" w:rsidP="00C068F1">
      <w:pPr>
        <w:pStyle w:val="NoSpacing"/>
        <w:rPr>
          <w:iCs/>
        </w:rPr>
      </w:pPr>
      <w:r w:rsidRPr="00C068F1">
        <w:rPr>
          <w:iCs/>
          <w:noProof/>
        </w:rPr>
        <w:drawing>
          <wp:inline distT="0" distB="0" distL="0" distR="0" wp14:anchorId="54B69A36" wp14:editId="6EBD97A8">
            <wp:extent cx="4300538" cy="303601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922" cy="303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24768" w14:textId="74820315" w:rsidR="00A174CC" w:rsidRDefault="00A174CC">
      <w:pPr>
        <w:rPr>
          <w:rFonts w:ascii="Calibri" w:eastAsia="Calibri" w:hAnsi="Calibri" w:cs="Arial"/>
          <w:iCs/>
          <w:sz w:val="22"/>
          <w:szCs w:val="22"/>
        </w:rPr>
      </w:pPr>
    </w:p>
    <w:p w14:paraId="530B0E99" w14:textId="77777777" w:rsidR="00C068F1" w:rsidRDefault="00C068F1">
      <w:pPr>
        <w:rPr>
          <w:rFonts w:ascii="Calibri" w:eastAsia="Calibri" w:hAnsi="Calibri" w:cs="Arial"/>
          <w:iCs/>
          <w:sz w:val="22"/>
          <w:szCs w:val="22"/>
        </w:rPr>
      </w:pPr>
    </w:p>
    <w:p w14:paraId="143D3A55" w14:textId="77777777" w:rsidR="00C068F1" w:rsidRPr="00C068F1" w:rsidRDefault="00C068F1">
      <w:pPr>
        <w:rPr>
          <w:rFonts w:ascii="Calibri" w:eastAsia="Calibri" w:hAnsi="Calibri" w:cs="Arial"/>
          <w:iCs/>
          <w:sz w:val="22"/>
          <w:szCs w:val="22"/>
        </w:rPr>
      </w:pPr>
    </w:p>
    <w:p w14:paraId="1D0A180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747B32F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37A237" w14:textId="694160F2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3156F29A" w14:textId="77777777" w:rsidR="002139F3" w:rsidRDefault="002139F3">
      <w:pPr>
        <w:spacing w:before="120" w:after="120"/>
        <w:rPr>
          <w:rFonts w:ascii="Arial" w:hAnsi="Arial" w:cs="Arial"/>
          <w:b/>
        </w:rPr>
      </w:pPr>
    </w:p>
    <w:p w14:paraId="3D571163" w14:textId="37779C3C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>1 Seuberlich T, Kuhn JH, Schmidt-Posthaus H</w:t>
      </w:r>
      <w:r w:rsidR="00F06EA0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 (2023)</w:t>
      </w:r>
      <w:r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 Near-</w:t>
      </w:r>
      <w:r w:rsidR="00F06EA0"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>c</w:t>
      </w:r>
      <w:r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omplete </w:t>
      </w:r>
      <w:r w:rsidR="00F06EA0"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>g</w:t>
      </w:r>
      <w:r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enome </w:t>
      </w:r>
      <w:r w:rsidR="00F06EA0"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>s</w:t>
      </w:r>
      <w:r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>equence of</w:t>
      </w:r>
    </w:p>
    <w:p w14:paraId="678DEDE6" w14:textId="4C7F3A86" w:rsid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</w:rPr>
        <w:t xml:space="preserve">Lötschberg </w:t>
      </w:r>
      <w:r w:rsidR="00F06EA0">
        <w:rPr>
          <w:rFonts w:ascii="Arial" w:hAnsi="Arial" w:cs="Arial"/>
          <w:color w:val="000000" w:themeColor="text1"/>
          <w:sz w:val="22"/>
          <w:szCs w:val="22"/>
        </w:rPr>
        <w:t>v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>irus (</w:t>
      </w:r>
      <w:r w:rsidRPr="002F1777">
        <w:rPr>
          <w:rFonts w:ascii="Arial" w:hAnsi="Arial" w:cs="Arial"/>
          <w:i/>
          <w:iCs/>
          <w:color w:val="000000" w:themeColor="text1"/>
          <w:sz w:val="22"/>
          <w:szCs w:val="22"/>
        </w:rPr>
        <w:t>Mononegavirales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F06EA0">
        <w:rPr>
          <w:rFonts w:ascii="Arial" w:hAnsi="Arial" w:cs="Arial"/>
          <w:i/>
          <w:iCs/>
          <w:color w:val="000000" w:themeColor="text1"/>
          <w:sz w:val="22"/>
          <w:szCs w:val="22"/>
        </w:rPr>
        <w:t>Filoviridae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F06EA0">
        <w:rPr>
          <w:rFonts w:ascii="Arial" w:hAnsi="Arial" w:cs="Arial"/>
          <w:color w:val="000000" w:themeColor="text1"/>
          <w:sz w:val="22"/>
          <w:szCs w:val="22"/>
        </w:rPr>
        <w:t>i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>dentified in</w:t>
      </w:r>
      <w:r w:rsidR="00F06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 xml:space="preserve">European </w:t>
      </w:r>
      <w:r w:rsidR="00F06EA0">
        <w:rPr>
          <w:rFonts w:ascii="Arial" w:hAnsi="Arial" w:cs="Arial"/>
          <w:color w:val="000000" w:themeColor="text1"/>
          <w:sz w:val="22"/>
          <w:szCs w:val="22"/>
        </w:rPr>
        <w:t>p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>erch (</w:t>
      </w:r>
      <w:r w:rsidRPr="00F06EA0">
        <w:rPr>
          <w:rFonts w:ascii="Arial" w:hAnsi="Arial" w:cs="Arial"/>
          <w:i/>
          <w:iCs/>
          <w:color w:val="000000" w:themeColor="text1"/>
          <w:sz w:val="22"/>
          <w:szCs w:val="22"/>
        </w:rPr>
        <w:t>Perca fluviatilis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 xml:space="preserve"> Linnaeus, 1758). Microbiol Resour Announc</w:t>
      </w:r>
      <w:r w:rsidR="00A927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>12(4):e0002823.</w:t>
      </w:r>
    </w:p>
    <w:p w14:paraId="6E71EB8E" w14:textId="77777777" w:rsidR="00F06EA0" w:rsidRDefault="00F06EA0" w:rsidP="00C068F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D2B60E" w14:textId="4AEC8332" w:rsidR="00C068F1" w:rsidRPr="00F06EA0" w:rsidRDefault="00F06EA0" w:rsidP="00C068F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C068F1" w:rsidRPr="00F06EA0">
        <w:rPr>
          <w:rFonts w:ascii="Arial" w:hAnsi="Arial" w:cs="Arial"/>
          <w:color w:val="000000" w:themeColor="text1"/>
          <w:sz w:val="22"/>
          <w:szCs w:val="22"/>
        </w:rPr>
        <w:t>. Bào Y, Amarasinghe GK, Basler CF, Bavari S, Bukreyev A, Chandran K, Dolnik O,</w:t>
      </w:r>
    </w:p>
    <w:p w14:paraId="7F9EE769" w14:textId="236690FC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</w:rPr>
        <w:t>Dye JM, EbiharaH, Formenty P, Hewson R, KobingerGP, Leroy EM,</w:t>
      </w:r>
      <w:r w:rsidR="00F06E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>Mühlberger</w:t>
      </w:r>
    </w:p>
    <w:p w14:paraId="0E20AD6B" w14:textId="77777777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</w:rPr>
        <w:t>E, Netesov SV, Patterson JL, Paweska JT, Smither SJ, Takada A, Towner JS,</w:t>
      </w:r>
    </w:p>
    <w:p w14:paraId="16A9A888" w14:textId="2CFF6EEB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>Volchkov VE, Wahl-Jensen V, Kuhn JH</w:t>
      </w:r>
      <w:r w:rsidR="00F06EA0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 (</w:t>
      </w:r>
      <w:r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>2017</w:t>
      </w:r>
      <w:r w:rsidR="00F06EA0">
        <w:rPr>
          <w:rFonts w:ascii="Arial" w:hAnsi="Arial" w:cs="Arial"/>
          <w:color w:val="000000" w:themeColor="text1"/>
          <w:sz w:val="22"/>
          <w:szCs w:val="22"/>
          <w:lang w:val="de-CH"/>
        </w:rPr>
        <w:t>)</w:t>
      </w:r>
      <w:r w:rsidRPr="00F06EA0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 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>Implementation of objective</w:t>
      </w:r>
    </w:p>
    <w:p w14:paraId="05B327E6" w14:textId="77777777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</w:rPr>
        <w:t>PASC-derived taxon demarcation criteria for official classification of filoviruses.</w:t>
      </w:r>
    </w:p>
    <w:p w14:paraId="450E68C3" w14:textId="3CED2C27" w:rsidR="00C068F1" w:rsidRDefault="00C068F1" w:rsidP="00C068F1">
      <w:pPr>
        <w:rPr>
          <w:rFonts w:ascii="Arial" w:hAnsi="Arial" w:cs="Arial"/>
          <w:color w:val="000000" w:themeColor="text1"/>
          <w:sz w:val="22"/>
          <w:szCs w:val="22"/>
          <w:lang w:val="fr-CH"/>
        </w:rPr>
      </w:pPr>
      <w:r w:rsidRPr="00F06EA0">
        <w:rPr>
          <w:rFonts w:ascii="Arial" w:hAnsi="Arial" w:cs="Arial"/>
          <w:color w:val="000000" w:themeColor="text1"/>
          <w:sz w:val="22"/>
          <w:szCs w:val="22"/>
          <w:lang w:val="fr-CH"/>
        </w:rPr>
        <w:t>Viruses 9:106</w:t>
      </w:r>
      <w:r w:rsidR="00A9270C">
        <w:rPr>
          <w:rFonts w:ascii="Arial" w:hAnsi="Arial" w:cs="Arial"/>
          <w:color w:val="000000" w:themeColor="text1"/>
          <w:sz w:val="22"/>
          <w:szCs w:val="22"/>
          <w:lang w:val="fr-CH"/>
        </w:rPr>
        <w:t xml:space="preserve">. </w:t>
      </w:r>
    </w:p>
    <w:p w14:paraId="1595B9AB" w14:textId="77777777" w:rsidR="00F06EA0" w:rsidRPr="00F06EA0" w:rsidRDefault="00F06EA0" w:rsidP="00C068F1">
      <w:pPr>
        <w:rPr>
          <w:rFonts w:ascii="Arial" w:hAnsi="Arial" w:cs="Arial"/>
          <w:color w:val="000000" w:themeColor="text1"/>
          <w:sz w:val="22"/>
          <w:szCs w:val="22"/>
          <w:lang w:val="fr-CH"/>
        </w:rPr>
      </w:pPr>
    </w:p>
    <w:p w14:paraId="54D5E23F" w14:textId="6BE03036" w:rsidR="00C068F1" w:rsidRPr="00F06EA0" w:rsidRDefault="00F06EA0" w:rsidP="00C068F1">
      <w:pPr>
        <w:rPr>
          <w:rFonts w:ascii="Arial" w:hAnsi="Arial" w:cs="Arial"/>
          <w:color w:val="000000" w:themeColor="text1"/>
          <w:sz w:val="22"/>
          <w:szCs w:val="22"/>
          <w:lang w:val="fr-CH"/>
        </w:rPr>
      </w:pPr>
      <w:r>
        <w:rPr>
          <w:rFonts w:ascii="Arial" w:hAnsi="Arial" w:cs="Arial"/>
          <w:color w:val="000000" w:themeColor="text1"/>
          <w:sz w:val="22"/>
          <w:szCs w:val="22"/>
          <w:lang w:val="fr-CH"/>
        </w:rPr>
        <w:t>3</w:t>
      </w:r>
      <w:r w:rsidR="00C068F1" w:rsidRPr="00F06EA0">
        <w:rPr>
          <w:rFonts w:ascii="Arial" w:hAnsi="Arial" w:cs="Arial"/>
          <w:color w:val="000000" w:themeColor="text1"/>
          <w:sz w:val="22"/>
          <w:szCs w:val="22"/>
          <w:lang w:val="fr-CH"/>
        </w:rPr>
        <w:t>. Kuhn JH, Amarasinghe GK, Basler CF, Bavari S, Bukreyev A, Chandran K,</w:t>
      </w:r>
    </w:p>
    <w:p w14:paraId="2C5569D3" w14:textId="77777777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</w:rPr>
        <w:t>Crozier I, Dolnik O, Dye JM, Formenty PBH, Griffiths A, Hewson R, Kobinger</w:t>
      </w:r>
    </w:p>
    <w:p w14:paraId="63C97C72" w14:textId="77777777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</w:rPr>
        <w:t>GP, Leroy EM, Mühlberger E, Netesov SV, Palacios G, Pályi B, Pawęska JT,</w:t>
      </w:r>
    </w:p>
    <w:p w14:paraId="43B8157A" w14:textId="4B9796BB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</w:rPr>
        <w:t>Smither SJ, Takada A, Towner JS, Wahl V, ICTV Report Consortium</w:t>
      </w:r>
      <w:r w:rsidR="00F06EA0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>2019</w:t>
      </w:r>
      <w:r w:rsidR="00F06EA0">
        <w:rPr>
          <w:rFonts w:ascii="Arial" w:hAnsi="Arial" w:cs="Arial"/>
          <w:color w:val="000000" w:themeColor="text1"/>
          <w:sz w:val="22"/>
          <w:szCs w:val="22"/>
        </w:rPr>
        <w:t>)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 xml:space="preserve"> ICTV</w:t>
      </w:r>
    </w:p>
    <w:p w14:paraId="548B95A4" w14:textId="050936DA" w:rsidR="00C068F1" w:rsidRPr="00F06EA0" w:rsidRDefault="00C068F1" w:rsidP="00C068F1">
      <w:pPr>
        <w:rPr>
          <w:rFonts w:ascii="Arial" w:hAnsi="Arial" w:cs="Arial"/>
          <w:color w:val="000000" w:themeColor="text1"/>
          <w:sz w:val="22"/>
          <w:szCs w:val="22"/>
        </w:rPr>
      </w:pPr>
      <w:r w:rsidRPr="00F06EA0">
        <w:rPr>
          <w:rFonts w:ascii="Arial" w:hAnsi="Arial" w:cs="Arial"/>
          <w:color w:val="000000" w:themeColor="text1"/>
          <w:sz w:val="22"/>
          <w:szCs w:val="22"/>
        </w:rPr>
        <w:t xml:space="preserve">virus taxonomy profile: </w:t>
      </w:r>
      <w:r w:rsidRPr="00A9270C">
        <w:rPr>
          <w:rFonts w:ascii="Arial" w:hAnsi="Arial" w:cs="Arial"/>
          <w:i/>
          <w:iCs/>
          <w:color w:val="000000" w:themeColor="text1"/>
          <w:sz w:val="22"/>
          <w:szCs w:val="22"/>
        </w:rPr>
        <w:t>Filoviridae</w:t>
      </w:r>
      <w:r w:rsidRPr="00F06EA0">
        <w:rPr>
          <w:rFonts w:ascii="Arial" w:hAnsi="Arial" w:cs="Arial"/>
          <w:color w:val="000000" w:themeColor="text1"/>
          <w:sz w:val="22"/>
          <w:szCs w:val="22"/>
        </w:rPr>
        <w:t>. J Gen Virol 100:911–912.</w:t>
      </w:r>
    </w:p>
    <w:sectPr w:rsidR="00C068F1" w:rsidRPr="00F06EA0">
      <w:headerReference w:type="default" r:id="rId12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2280" w14:textId="77777777" w:rsidR="00563084" w:rsidRDefault="00563084">
      <w:r>
        <w:separator/>
      </w:r>
    </w:p>
  </w:endnote>
  <w:endnote w:type="continuationSeparator" w:id="0">
    <w:p w14:paraId="2A6ADDF2" w14:textId="77777777" w:rsidR="00563084" w:rsidRDefault="0056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2AF2" w14:textId="77777777" w:rsidR="00563084" w:rsidRDefault="00563084">
      <w:r>
        <w:separator/>
      </w:r>
    </w:p>
  </w:footnote>
  <w:footnote w:type="continuationSeparator" w:id="0">
    <w:p w14:paraId="29EBD945" w14:textId="77777777" w:rsidR="00563084" w:rsidRDefault="0056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6354172">
    <w:abstractNumId w:val="0"/>
  </w:num>
  <w:num w:numId="2" w16cid:durableId="117619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A146A"/>
    <w:rsid w:val="000D7F0D"/>
    <w:rsid w:val="000E658D"/>
    <w:rsid w:val="000F51F4"/>
    <w:rsid w:val="000F7067"/>
    <w:rsid w:val="0013113D"/>
    <w:rsid w:val="002139F3"/>
    <w:rsid w:val="002F1777"/>
    <w:rsid w:val="0037243A"/>
    <w:rsid w:val="0043110C"/>
    <w:rsid w:val="00437970"/>
    <w:rsid w:val="00452197"/>
    <w:rsid w:val="004F3196"/>
    <w:rsid w:val="00543F86"/>
    <w:rsid w:val="00547EB7"/>
    <w:rsid w:val="00551C53"/>
    <w:rsid w:val="00563084"/>
    <w:rsid w:val="005A54C3"/>
    <w:rsid w:val="005F15E8"/>
    <w:rsid w:val="00751E27"/>
    <w:rsid w:val="007C66A2"/>
    <w:rsid w:val="008815EE"/>
    <w:rsid w:val="008A502B"/>
    <w:rsid w:val="00903D12"/>
    <w:rsid w:val="00A02B2D"/>
    <w:rsid w:val="00A174CC"/>
    <w:rsid w:val="00A2357C"/>
    <w:rsid w:val="00A9270C"/>
    <w:rsid w:val="00AD759B"/>
    <w:rsid w:val="00B35CC8"/>
    <w:rsid w:val="00B47589"/>
    <w:rsid w:val="00B50A1D"/>
    <w:rsid w:val="00C068F1"/>
    <w:rsid w:val="00C518DE"/>
    <w:rsid w:val="00C646AD"/>
    <w:rsid w:val="00E034BE"/>
    <w:rsid w:val="00E71D71"/>
    <w:rsid w:val="00F06EA0"/>
    <w:rsid w:val="00FC2991"/>
    <w:rsid w:val="00FE4E60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068F1"/>
    <w:rPr>
      <w:rFonts w:ascii="Calibri" w:eastAsia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C068F1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ten.seuberlich@unibe.ch;%20kuhnjens@mail.nih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sutils/pasc/viridty.cgi?textpage=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ke.schmidt@unibe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12</cp:revision>
  <dcterms:created xsi:type="dcterms:W3CDTF">2023-05-17T14:13:00Z</dcterms:created>
  <dcterms:modified xsi:type="dcterms:W3CDTF">2023-07-11T20:49:00Z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