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Pr="00273B46" w:rsidRDefault="00F05B35">
      <w:r w:rsidRPr="00273B46">
        <w:rPr>
          <w:rFonts w:ascii="Times" w:hAnsi="Times"/>
          <w:noProof/>
          <w:color w:val="0000FF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Pr="00273B46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Pr="00273B46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Pr="00273B46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Pr="00273B46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Pr="00273B46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273B46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273B46">
        <w:rPr>
          <w:rFonts w:ascii="Arial" w:hAnsi="Arial" w:cs="Arial"/>
          <w:b/>
          <w:color w:val="000000"/>
        </w:rPr>
        <w:t>Part 1:</w:t>
      </w:r>
      <w:r w:rsidRPr="00273B46">
        <w:rPr>
          <w:rFonts w:ascii="Arial" w:hAnsi="Arial" w:cs="Arial"/>
          <w:color w:val="000000"/>
          <w:sz w:val="22"/>
          <w:szCs w:val="22"/>
        </w:rPr>
        <w:t xml:space="preserve"> </w:t>
      </w:r>
      <w:r w:rsidRPr="00273B46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 w:rsidRPr="00273B46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273B46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273B46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273B46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273B46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273B46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27BF0E29" w:rsidR="00F05B35" w:rsidRPr="004471E9" w:rsidRDefault="00F01538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471E9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2020.034P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273B46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273B46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6BFF4FEB" w:rsidR="00F05B35" w:rsidRPr="00273B46" w:rsidRDefault="00F05B35" w:rsidP="009623BE">
            <w:pPr>
              <w:spacing w:before="120"/>
              <w:rPr>
                <w:rFonts w:ascii="Arial" w:hAnsi="Arial" w:cs="Arial"/>
                <w:b/>
              </w:rPr>
            </w:pPr>
            <w:r w:rsidRPr="00273B46">
              <w:rPr>
                <w:rFonts w:ascii="Arial" w:hAnsi="Arial" w:cs="Arial"/>
                <w:b/>
              </w:rPr>
              <w:t xml:space="preserve">Short title: </w:t>
            </w:r>
            <w:r w:rsidR="00667B4C" w:rsidRPr="00273B46">
              <w:rPr>
                <w:rFonts w:ascii="Arial" w:hAnsi="Arial" w:cs="Arial"/>
                <w:sz w:val="22"/>
                <w:szCs w:val="22"/>
              </w:rPr>
              <w:t xml:space="preserve">Create </w:t>
            </w:r>
            <w:r w:rsidR="00F01538">
              <w:rPr>
                <w:rFonts w:ascii="Arial" w:hAnsi="Arial" w:cs="Arial"/>
                <w:sz w:val="22"/>
                <w:szCs w:val="22"/>
              </w:rPr>
              <w:t>two</w:t>
            </w:r>
            <w:r w:rsidR="00667B4C" w:rsidRPr="00273B46">
              <w:rPr>
                <w:rFonts w:ascii="Arial" w:hAnsi="Arial" w:cs="Arial"/>
                <w:sz w:val="22"/>
                <w:szCs w:val="22"/>
              </w:rPr>
              <w:t xml:space="preserve"> new species in genus </w:t>
            </w:r>
            <w:r w:rsidR="00667B4C" w:rsidRPr="00273B46">
              <w:rPr>
                <w:rFonts w:ascii="Arial" w:hAnsi="Arial" w:cs="Arial"/>
                <w:i/>
                <w:sz w:val="22"/>
                <w:szCs w:val="22"/>
              </w:rPr>
              <w:t>Umbravirus</w:t>
            </w:r>
            <w:r w:rsidR="00F0153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F01538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(</w:t>
            </w:r>
            <w:r w:rsidR="00F01538" w:rsidRPr="0055112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Tolivirales</w:t>
            </w:r>
            <w:r w:rsidR="00F01538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: </w:t>
            </w:r>
            <w:r w:rsidR="00F01538" w:rsidRPr="0055112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Tombusviridae</w:t>
            </w:r>
            <w:r w:rsidR="00F01538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)</w:t>
            </w:r>
          </w:p>
        </w:tc>
      </w:tr>
      <w:tr w:rsidR="00F05B35" w:rsidRPr="00273B46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273B46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Pr="00273B46" w:rsidRDefault="00F05B35" w:rsidP="007B1846">
      <w:pPr>
        <w:spacing w:before="120" w:after="120"/>
        <w:rPr>
          <w:rFonts w:ascii="Arial" w:hAnsi="Arial" w:cs="Arial"/>
          <w:b/>
        </w:rPr>
      </w:pPr>
      <w:r w:rsidRPr="00273B46"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:rsidRPr="00273B46" w14:paraId="6C9F2292" w14:textId="77777777" w:rsidTr="00F05B35">
        <w:tc>
          <w:tcPr>
            <w:tcW w:w="4368" w:type="dxa"/>
          </w:tcPr>
          <w:p w14:paraId="770EA72C" w14:textId="77777777" w:rsidR="00F01538" w:rsidRDefault="001B1DAA">
            <w:pPr>
              <w:rPr>
                <w:rFonts w:ascii="Arial" w:hAnsi="Arial" w:cs="Arial"/>
                <w:sz w:val="22"/>
                <w:szCs w:val="22"/>
              </w:rPr>
            </w:pPr>
            <w:r w:rsidRPr="00273B46">
              <w:rPr>
                <w:rFonts w:ascii="Arial" w:hAnsi="Arial" w:cs="Arial"/>
                <w:sz w:val="22"/>
                <w:szCs w:val="22"/>
              </w:rPr>
              <w:t>Scheets</w:t>
            </w:r>
            <w:r w:rsidR="00F01538">
              <w:rPr>
                <w:rFonts w:ascii="Arial" w:hAnsi="Arial" w:cs="Arial"/>
                <w:sz w:val="22"/>
                <w:szCs w:val="22"/>
              </w:rPr>
              <w:t xml:space="preserve"> K</w:t>
            </w:r>
          </w:p>
          <w:p w14:paraId="4275D6A4" w14:textId="58EC29DB" w:rsidR="00F01538" w:rsidRDefault="001B1DAA">
            <w:pPr>
              <w:rPr>
                <w:rFonts w:ascii="Arial" w:hAnsi="Arial" w:cs="Arial"/>
                <w:sz w:val="22"/>
                <w:szCs w:val="22"/>
              </w:rPr>
            </w:pPr>
            <w:r w:rsidRPr="00273B4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6B6B778" w14:textId="0830436A" w:rsidR="00F05B35" w:rsidRPr="00273B46" w:rsidRDefault="00F0153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on behalf of the</w:t>
            </w:r>
            <w:r w:rsidR="001B1DAA" w:rsidRPr="00273B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B1DAA" w:rsidRPr="00F01538">
              <w:rPr>
                <w:rFonts w:ascii="Arial" w:hAnsi="Arial" w:cs="Arial"/>
                <w:i/>
                <w:iCs/>
                <w:sz w:val="22"/>
                <w:szCs w:val="22"/>
              </w:rPr>
              <w:t>Tombusviridae</w:t>
            </w:r>
            <w:r w:rsidR="001B1DAA" w:rsidRPr="00273B46">
              <w:rPr>
                <w:rFonts w:ascii="Arial" w:hAnsi="Arial" w:cs="Arial"/>
                <w:sz w:val="22"/>
                <w:szCs w:val="22"/>
              </w:rPr>
              <w:t xml:space="preserve"> Study 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="001B1DAA" w:rsidRPr="00273B46">
              <w:rPr>
                <w:rFonts w:ascii="Arial" w:hAnsi="Arial" w:cs="Arial"/>
                <w:sz w:val="22"/>
                <w:szCs w:val="22"/>
              </w:rPr>
              <w:t>roup</w:t>
            </w:r>
          </w:p>
        </w:tc>
        <w:tc>
          <w:tcPr>
            <w:tcW w:w="4704" w:type="dxa"/>
          </w:tcPr>
          <w:p w14:paraId="0BBAF43D" w14:textId="42207AB7" w:rsidR="001B1DAA" w:rsidRPr="00273B46" w:rsidRDefault="001B1DAA" w:rsidP="001B1DAA">
            <w:pPr>
              <w:rPr>
                <w:rFonts w:ascii="Arial" w:hAnsi="Arial" w:cs="Arial"/>
                <w:sz w:val="22"/>
                <w:szCs w:val="22"/>
              </w:rPr>
            </w:pPr>
            <w:r w:rsidRPr="00273B46">
              <w:rPr>
                <w:rFonts w:ascii="Arial" w:hAnsi="Arial" w:cs="Arial"/>
                <w:sz w:val="22"/>
                <w:szCs w:val="22"/>
              </w:rPr>
              <w:t>kay.scheets@okstate.edu</w:t>
            </w:r>
          </w:p>
          <w:p w14:paraId="1AA95142" w14:textId="77777777" w:rsidR="00F05B35" w:rsidRPr="00273B46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222C3C" w14:textId="5F933EF2" w:rsidR="007B1846" w:rsidRPr="00273B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 w:rsidRPr="00273B46"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273B46" w14:paraId="4C83B069" w14:textId="77777777" w:rsidTr="00F05B35">
        <w:tc>
          <w:tcPr>
            <w:tcW w:w="9072" w:type="dxa"/>
          </w:tcPr>
          <w:p w14:paraId="6B198156" w14:textId="3A9DCFEE" w:rsidR="00F05B35" w:rsidRPr="00273B46" w:rsidRDefault="00A83FB2">
            <w:pPr>
              <w:rPr>
                <w:rFonts w:ascii="Arial" w:hAnsi="Arial" w:cs="Arial"/>
                <w:sz w:val="22"/>
                <w:szCs w:val="22"/>
              </w:rPr>
            </w:pPr>
            <w:r w:rsidRPr="00273B46">
              <w:rPr>
                <w:rFonts w:ascii="Arial" w:hAnsi="Arial" w:cs="Arial"/>
                <w:sz w:val="22"/>
                <w:szCs w:val="22"/>
              </w:rPr>
              <w:t xml:space="preserve">Oklahoma State University </w:t>
            </w:r>
          </w:p>
        </w:tc>
      </w:tr>
    </w:tbl>
    <w:p w14:paraId="42471AF1" w14:textId="12E74C55" w:rsidR="00F05B35" w:rsidRPr="00273B46" w:rsidRDefault="00F05B35" w:rsidP="007B1846">
      <w:pPr>
        <w:spacing w:before="120" w:after="120"/>
        <w:rPr>
          <w:rFonts w:ascii="Arial" w:hAnsi="Arial" w:cs="Arial"/>
          <w:b/>
        </w:rPr>
      </w:pPr>
      <w:r w:rsidRPr="00273B46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273B46" w14:paraId="236B36E1" w14:textId="77777777" w:rsidTr="00F05B35">
        <w:tc>
          <w:tcPr>
            <w:tcW w:w="9072" w:type="dxa"/>
          </w:tcPr>
          <w:p w14:paraId="620636A5" w14:textId="1442CC52" w:rsidR="00121243" w:rsidRPr="00273B46" w:rsidRDefault="00A83FB2">
            <w:pPr>
              <w:rPr>
                <w:rFonts w:ascii="Arial" w:hAnsi="Arial" w:cs="Arial"/>
                <w:sz w:val="22"/>
                <w:szCs w:val="22"/>
              </w:rPr>
            </w:pPr>
            <w:r w:rsidRPr="00273B46">
              <w:rPr>
                <w:rFonts w:ascii="Arial" w:hAnsi="Arial" w:cs="Arial"/>
                <w:sz w:val="22"/>
                <w:szCs w:val="22"/>
              </w:rPr>
              <w:t>Kay Scheets</w:t>
            </w:r>
            <w:r w:rsidR="00F01538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F01538" w:rsidRPr="00273B46">
              <w:rPr>
                <w:rFonts w:ascii="Arial" w:hAnsi="Arial" w:cs="Arial"/>
                <w:sz w:val="22"/>
                <w:szCs w:val="22"/>
              </w:rPr>
              <w:t>kay.scheets@okstate.edu</w:t>
            </w:r>
            <w:r w:rsidR="00F01538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14:paraId="634A6865" w14:textId="6FC7D1A6" w:rsidR="00F05B35" w:rsidRPr="00273B46" w:rsidRDefault="00F05B35" w:rsidP="00E45F96">
      <w:pPr>
        <w:spacing w:before="120" w:after="120"/>
        <w:rPr>
          <w:rFonts w:ascii="Arial" w:hAnsi="Arial" w:cs="Arial"/>
          <w:b/>
        </w:rPr>
      </w:pPr>
      <w:r w:rsidRPr="00273B46">
        <w:rPr>
          <w:rFonts w:ascii="Arial" w:hAnsi="Arial" w:cs="Arial"/>
          <w:b/>
        </w:rPr>
        <w:t>List t</w:t>
      </w:r>
      <w:r w:rsidR="007B1846" w:rsidRPr="00273B46">
        <w:rPr>
          <w:rFonts w:ascii="Arial" w:hAnsi="Arial" w:cs="Arial"/>
          <w:b/>
        </w:rPr>
        <w:t>h</w:t>
      </w:r>
      <w:r w:rsidRPr="00273B46">
        <w:rPr>
          <w:rFonts w:ascii="Arial" w:hAnsi="Arial" w:cs="Arial"/>
          <w:b/>
        </w:rPr>
        <w:t xml:space="preserve">e ICTV </w:t>
      </w:r>
      <w:r w:rsidR="004609D1" w:rsidRPr="00273B46">
        <w:rPr>
          <w:rFonts w:ascii="Arial" w:hAnsi="Arial" w:cs="Arial"/>
          <w:b/>
        </w:rPr>
        <w:t>S</w:t>
      </w:r>
      <w:r w:rsidRPr="00273B46">
        <w:rPr>
          <w:rFonts w:ascii="Arial" w:hAnsi="Arial" w:cs="Arial"/>
          <w:b/>
        </w:rPr>
        <w:t xml:space="preserve">tudy </w:t>
      </w:r>
      <w:r w:rsidR="004609D1" w:rsidRPr="00273B46">
        <w:rPr>
          <w:rFonts w:ascii="Arial" w:hAnsi="Arial" w:cs="Arial"/>
          <w:b/>
        </w:rPr>
        <w:t>G</w:t>
      </w:r>
      <w:r w:rsidRPr="00273B46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273B46" w14:paraId="4417EFA2" w14:textId="77777777" w:rsidTr="00F05B35">
        <w:tc>
          <w:tcPr>
            <w:tcW w:w="9072" w:type="dxa"/>
          </w:tcPr>
          <w:p w14:paraId="6DE69BDE" w14:textId="57E9C1AE" w:rsidR="00F05B35" w:rsidRPr="00F01538" w:rsidRDefault="009664FD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F01538">
              <w:rPr>
                <w:rFonts w:ascii="Arial" w:hAnsi="Arial" w:cs="Arial"/>
                <w:i/>
                <w:iCs/>
                <w:sz w:val="22"/>
                <w:szCs w:val="22"/>
              </w:rPr>
              <w:t>Tombusviridae</w:t>
            </w:r>
            <w:r w:rsidR="00F0153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F01538">
              <w:rPr>
                <w:rFonts w:ascii="Arial" w:hAnsi="Arial" w:cs="Arial"/>
                <w:sz w:val="22"/>
                <w:szCs w:val="22"/>
              </w:rPr>
              <w:t>Stugy Group</w:t>
            </w:r>
          </w:p>
          <w:p w14:paraId="7377557F" w14:textId="4CD07009" w:rsidR="00F05B35" w:rsidRPr="00273B46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3B42E0" w14:textId="4E449221" w:rsidR="00F05B35" w:rsidRPr="00273B46" w:rsidRDefault="00F05B35" w:rsidP="00E45F96">
      <w:pPr>
        <w:spacing w:before="120" w:after="120"/>
        <w:rPr>
          <w:rFonts w:ascii="Arial" w:hAnsi="Arial" w:cs="Arial"/>
          <w:b/>
        </w:rPr>
      </w:pPr>
      <w:r w:rsidRPr="00273B46"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273B46" w14:paraId="56B8F71E" w14:textId="77777777" w:rsidTr="00F05B35">
        <w:tc>
          <w:tcPr>
            <w:tcW w:w="9072" w:type="dxa"/>
          </w:tcPr>
          <w:p w14:paraId="47248B91" w14:textId="61F76F86" w:rsidR="00F05B35" w:rsidRPr="00273B46" w:rsidRDefault="00F01538" w:rsidP="00F05B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Two</w:t>
            </w:r>
            <w:r w:rsidR="003F69DF">
              <w:rPr>
                <w:rFonts w:ascii="Arial" w:hAnsi="Arial" w:cs="Arial"/>
                <w:sz w:val="22"/>
                <w:szCs w:val="22"/>
              </w:rPr>
              <w:t xml:space="preserve"> members responded, and agree with proposal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8FCD660" w14:textId="4AEFE8EA" w:rsidR="00F05B35" w:rsidRPr="00273B46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4533E8" w14:textId="21C8A471" w:rsidR="00F05B35" w:rsidRPr="00273B46" w:rsidRDefault="00121243" w:rsidP="00F01538">
      <w:pPr>
        <w:spacing w:before="120" w:after="120"/>
        <w:rPr>
          <w:rFonts w:ascii="Arial" w:hAnsi="Arial" w:cs="Arial"/>
          <w:b/>
          <w:bCs/>
        </w:rPr>
      </w:pPr>
      <w:r w:rsidRPr="00273B46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273B46" w14:paraId="227787EB" w14:textId="77777777" w:rsidTr="00F05B35">
        <w:tc>
          <w:tcPr>
            <w:tcW w:w="4820" w:type="dxa"/>
          </w:tcPr>
          <w:p w14:paraId="72C08BD7" w14:textId="4C845B8C" w:rsidR="00F05B35" w:rsidRPr="00273B46" w:rsidRDefault="00F05B35" w:rsidP="00F05B35">
            <w:pPr>
              <w:rPr>
                <w:sz w:val="22"/>
                <w:szCs w:val="22"/>
              </w:rPr>
            </w:pPr>
            <w:r w:rsidRPr="00273B46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 w:rsidRPr="00273B46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2B566B16" w:rsidR="00F05B35" w:rsidRPr="003F69DF" w:rsidRDefault="00F01538" w:rsidP="00F05B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Aug 18, </w:t>
            </w:r>
            <w:r w:rsidR="003F69DF" w:rsidRPr="003F69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</w:tr>
      <w:tr w:rsidR="00F05B35" w:rsidRPr="00273B46" w14:paraId="6DBAD156" w14:textId="77777777" w:rsidTr="00F05B35">
        <w:tc>
          <w:tcPr>
            <w:tcW w:w="4820" w:type="dxa"/>
          </w:tcPr>
          <w:p w14:paraId="5EA6079A" w14:textId="6A342DDE" w:rsidR="00F05B35" w:rsidRPr="00273B46" w:rsidRDefault="00F05B35" w:rsidP="00F05B35">
            <w:pPr>
              <w:rPr>
                <w:sz w:val="22"/>
                <w:szCs w:val="22"/>
              </w:rPr>
            </w:pPr>
            <w:r w:rsidRPr="00273B46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273B46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Pr="00273B46" w:rsidRDefault="00F05B35" w:rsidP="007B1846">
      <w:pPr>
        <w:spacing w:before="120" w:after="120"/>
        <w:rPr>
          <w:rFonts w:ascii="Arial" w:hAnsi="Arial" w:cs="Arial"/>
          <w:b/>
        </w:rPr>
      </w:pPr>
      <w:r w:rsidRPr="00273B46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273B46" w14:paraId="6F9832FB" w14:textId="77777777" w:rsidTr="00F05B35">
        <w:tc>
          <w:tcPr>
            <w:tcW w:w="9072" w:type="dxa"/>
          </w:tcPr>
          <w:p w14:paraId="47A9448F" w14:textId="77777777" w:rsidR="00F05B35" w:rsidRPr="00273B46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273B46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40246E54" w:rsidR="00F05B35" w:rsidRPr="00273B46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273B46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Pr="00273B46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0963DCA2" w14:textId="77777777" w:rsidR="00E45F96" w:rsidRPr="00273B46" w:rsidRDefault="00E45F96" w:rsidP="00E45F96">
      <w:pPr>
        <w:rPr>
          <w:rFonts w:ascii="Arial" w:hAnsi="Arial" w:cs="Arial"/>
          <w:b/>
          <w:color w:val="000000"/>
        </w:rPr>
      </w:pPr>
    </w:p>
    <w:p w14:paraId="34A291B8" w14:textId="77777777" w:rsidR="00E45F96" w:rsidRPr="00273B46" w:rsidRDefault="00E45F96" w:rsidP="00E45F96">
      <w:pPr>
        <w:rPr>
          <w:rFonts w:ascii="Arial" w:hAnsi="Arial" w:cs="Arial"/>
          <w:b/>
          <w:color w:val="000000"/>
        </w:rPr>
      </w:pPr>
    </w:p>
    <w:p w14:paraId="570F0F42" w14:textId="77777777" w:rsidR="00F01538" w:rsidRDefault="00F01538" w:rsidP="00E45F96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br w:type="page"/>
      </w:r>
    </w:p>
    <w:p w14:paraId="775AE6FC" w14:textId="78BBC8B0" w:rsidR="00237296" w:rsidRPr="00273B46" w:rsidRDefault="00237296" w:rsidP="00E45F96">
      <w:pPr>
        <w:rPr>
          <w:rFonts w:ascii="Arial" w:eastAsia="Times" w:hAnsi="Arial" w:cs="Arial"/>
          <w:b/>
          <w:color w:val="000000"/>
          <w:lang w:eastAsia="en-GB"/>
        </w:rPr>
      </w:pPr>
      <w:r w:rsidRPr="00273B46">
        <w:rPr>
          <w:rFonts w:ascii="Arial" w:hAnsi="Arial" w:cs="Arial"/>
          <w:b/>
          <w:color w:val="000000"/>
        </w:rPr>
        <w:lastRenderedPageBreak/>
        <w:t>Part 3</w:t>
      </w:r>
      <w:r w:rsidRPr="00273B46">
        <w:rPr>
          <w:rFonts w:ascii="Arial" w:hAnsi="Arial" w:cs="Arial"/>
          <w:b/>
          <w:color w:val="000000"/>
          <w:sz w:val="22"/>
          <w:szCs w:val="22"/>
        </w:rPr>
        <w:t>:</w:t>
      </w:r>
      <w:r w:rsidRPr="00273B46">
        <w:rPr>
          <w:rFonts w:ascii="Arial" w:hAnsi="Arial" w:cs="Arial"/>
          <w:color w:val="000000"/>
          <w:sz w:val="22"/>
          <w:szCs w:val="22"/>
        </w:rPr>
        <w:t xml:space="preserve"> </w:t>
      </w:r>
      <w:r w:rsidRPr="00273B46"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20CC400A" w14:textId="5727C77B" w:rsidR="00237296" w:rsidRPr="00273B46" w:rsidRDefault="00237296" w:rsidP="007B1846">
      <w:pPr>
        <w:spacing w:before="120" w:after="120"/>
        <w:rPr>
          <w:rFonts w:ascii="Arial" w:hAnsi="Arial" w:cs="Arial"/>
          <w:b/>
        </w:rPr>
      </w:pPr>
      <w:r w:rsidRPr="00273B46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F01538" w14:paraId="1BD0BD46" w14:textId="77777777" w:rsidTr="00237296">
        <w:tc>
          <w:tcPr>
            <w:tcW w:w="9072" w:type="dxa"/>
          </w:tcPr>
          <w:p w14:paraId="08D2D8B8" w14:textId="6AD949D1" w:rsidR="00237296" w:rsidRPr="00F01538" w:rsidRDefault="00F01538" w:rsidP="007B184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01538">
              <w:rPr>
                <w:rFonts w:asciiTheme="minorHAnsi" w:hAnsiTheme="minorHAnsi" w:cstheme="minorHAnsi"/>
                <w:sz w:val="22"/>
                <w:szCs w:val="22"/>
              </w:rPr>
              <w:t>2020.034P.</w:t>
            </w:r>
            <w:r w:rsidR="000D56DC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F01538">
              <w:rPr>
                <w:rFonts w:asciiTheme="minorHAnsi" w:hAnsiTheme="minorHAnsi" w:cstheme="minorHAnsi"/>
                <w:sz w:val="22"/>
                <w:szCs w:val="22"/>
              </w:rPr>
              <w:t>.Umbravirus_2nsp</w:t>
            </w:r>
            <w:r w:rsidR="002B0F54" w:rsidRPr="00F01538">
              <w:rPr>
                <w:rFonts w:asciiTheme="minorHAnsi" w:hAnsiTheme="minorHAnsi" w:cstheme="minorHAnsi"/>
                <w:sz w:val="22"/>
                <w:szCs w:val="22"/>
              </w:rPr>
              <w:t>.xlsx</w:t>
            </w:r>
          </w:p>
        </w:tc>
      </w:tr>
    </w:tbl>
    <w:p w14:paraId="4F095581" w14:textId="0F2F5862" w:rsidR="00237296" w:rsidRPr="00273B4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 w:rsidRPr="00273B46"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F01538" w14:paraId="62896764" w14:textId="77777777" w:rsidTr="00273B46">
        <w:trPr>
          <w:trHeight w:val="872"/>
        </w:trPr>
        <w:tc>
          <w:tcPr>
            <w:tcW w:w="9072" w:type="dxa"/>
          </w:tcPr>
          <w:p w14:paraId="0EB2202F" w14:textId="40846175" w:rsidR="00237296" w:rsidRPr="00F01538" w:rsidRDefault="009664FD" w:rsidP="002372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538">
              <w:rPr>
                <w:rFonts w:asciiTheme="minorHAnsi" w:hAnsiTheme="minorHAnsi" w:cstheme="minorHAnsi"/>
                <w:sz w:val="22"/>
                <w:szCs w:val="22"/>
              </w:rPr>
              <w:t>Ixeridium yellow mottle virus 2</w:t>
            </w:r>
            <w:r w:rsidRPr="00F01538">
              <w:rPr>
                <w:rFonts w:asciiTheme="minorHAnsi" w:hAnsiTheme="minorHAnsi" w:cstheme="minorHAnsi"/>
              </w:rPr>
              <w:t xml:space="preserve"> and </w:t>
            </w:r>
            <w:r w:rsidRPr="00F01538">
              <w:rPr>
                <w:rFonts w:asciiTheme="minorHAnsi" w:hAnsiTheme="minorHAnsi" w:cstheme="minorHAnsi"/>
                <w:sz w:val="22"/>
                <w:szCs w:val="22"/>
              </w:rPr>
              <w:t>patrinia mild mottle virus are two new viruses discovered in South Korea, and they have the characteristics of distinct new species in</w:t>
            </w:r>
            <w:r w:rsidR="002B0F54" w:rsidRPr="00F01538">
              <w:rPr>
                <w:rFonts w:asciiTheme="minorHAnsi" w:hAnsiTheme="minorHAnsi" w:cstheme="minorHAnsi"/>
                <w:sz w:val="22"/>
                <w:szCs w:val="22"/>
              </w:rPr>
              <w:t xml:space="preserve"> genus </w:t>
            </w:r>
            <w:r w:rsidR="002B0F54" w:rsidRPr="00F01538">
              <w:rPr>
                <w:rFonts w:asciiTheme="minorHAnsi" w:hAnsiTheme="minorHAnsi" w:cstheme="minorHAnsi"/>
                <w:i/>
                <w:sz w:val="22"/>
                <w:szCs w:val="22"/>
              </w:rPr>
              <w:t>Umbravirus</w:t>
            </w:r>
            <w:r w:rsidRPr="00F0153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201C3F87" w14:textId="2C1CA6EE" w:rsidR="00237296" w:rsidRPr="00273B46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 w:rsidRPr="00273B46"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273B46" w14:paraId="2C403BCA" w14:textId="77777777" w:rsidTr="009623BE">
        <w:trPr>
          <w:trHeight w:val="1566"/>
        </w:trPr>
        <w:tc>
          <w:tcPr>
            <w:tcW w:w="9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273B46" w14:paraId="596D248E" w14:textId="77777777" w:rsidTr="00237296">
              <w:tc>
                <w:tcPr>
                  <w:tcW w:w="9002" w:type="dxa"/>
                </w:tcPr>
                <w:p w14:paraId="16617D32" w14:textId="002799B4" w:rsidR="00237296" w:rsidRPr="00273B46" w:rsidRDefault="0041197F" w:rsidP="009623BE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273B46">
                    <w:rPr>
                      <w:rFonts w:ascii="Calibri" w:hAnsi="Calibri" w:cs="Calibri"/>
                      <w:sz w:val="22"/>
                      <w:szCs w:val="22"/>
                    </w:rPr>
                    <w:t>T</w:t>
                  </w:r>
                  <w:r w:rsidR="009F36B3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wo </w:t>
                  </w:r>
                  <w:r w:rsidRPr="00273B46">
                    <w:rPr>
                      <w:rFonts w:ascii="Calibri" w:hAnsi="Calibri" w:cs="Calibri"/>
                      <w:sz w:val="22"/>
                      <w:szCs w:val="22"/>
                    </w:rPr>
                    <w:t>umbra</w:t>
                  </w:r>
                  <w:r w:rsidR="00F37F40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viruses were </w:t>
                  </w:r>
                  <w:r w:rsidR="00E41134" w:rsidRPr="00273B46">
                    <w:rPr>
                      <w:rFonts w:ascii="Calibri" w:hAnsi="Calibri" w:cs="Calibri"/>
                      <w:sz w:val="22"/>
                      <w:szCs w:val="22"/>
                    </w:rPr>
                    <w:t>found in</w:t>
                  </w:r>
                  <w:r w:rsidR="004A30CB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 two different counties of North Gyeongsang Province, S</w:t>
                  </w:r>
                  <w:r w:rsidR="000858B6" w:rsidRPr="00273B46">
                    <w:rPr>
                      <w:rFonts w:ascii="Calibri" w:hAnsi="Calibri" w:cs="Calibri"/>
                      <w:sz w:val="22"/>
                      <w:szCs w:val="22"/>
                    </w:rPr>
                    <w:t>.</w:t>
                  </w:r>
                  <w:r w:rsid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 Korea.  T</w:t>
                  </w:r>
                  <w:r w:rsidR="00E278EB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hey </w:t>
                  </w:r>
                  <w:r w:rsidR="004A30CB" w:rsidRPr="00273B46">
                    <w:rPr>
                      <w:rFonts w:ascii="Calibri" w:hAnsi="Calibri" w:cs="Calibri"/>
                      <w:sz w:val="22"/>
                      <w:szCs w:val="22"/>
                    </w:rPr>
                    <w:t>were</w:t>
                  </w:r>
                  <w:r w:rsidR="00E41134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  <w:r w:rsidR="00E278EB" w:rsidRPr="00273B46">
                    <w:rPr>
                      <w:rFonts w:ascii="Calibri" w:hAnsi="Calibri" w:cs="Calibri"/>
                      <w:sz w:val="22"/>
                      <w:szCs w:val="22"/>
                    </w:rPr>
                    <w:t>both</w:t>
                  </w:r>
                  <w:r w:rsidR="008719E3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 isolated from unrelated host</w:t>
                  </w:r>
                  <w:r w:rsidR="00F37F40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s from the eudicot clade </w:t>
                  </w:r>
                  <w:r w:rsidR="00F37F40" w:rsidRPr="00273B46">
                    <w:rPr>
                      <w:rFonts w:ascii="Calibri" w:hAnsi="Calibri" w:cs="Calibri"/>
                      <w:i/>
                      <w:sz w:val="22"/>
                      <w:szCs w:val="22"/>
                    </w:rPr>
                    <w:t>Asterids</w:t>
                  </w:r>
                  <w:r w:rsidR="0092721D" w:rsidRPr="00273B46">
                    <w:rPr>
                      <w:rFonts w:ascii="Calibri" w:hAnsi="Calibri" w:cs="Calibri"/>
                      <w:sz w:val="22"/>
                      <w:szCs w:val="22"/>
                    </w:rPr>
                    <w:t>. F</w:t>
                  </w:r>
                  <w:r w:rsidR="00F37F40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rom the order level down </w:t>
                  </w:r>
                  <w:r w:rsidR="000858B6" w:rsidRPr="00273B46">
                    <w:rPr>
                      <w:rFonts w:ascii="Calibri" w:hAnsi="Calibri" w:cs="Calibri"/>
                      <w:sz w:val="22"/>
                      <w:szCs w:val="22"/>
                    </w:rPr>
                    <w:t>(</w:t>
                  </w:r>
                  <w:r w:rsidR="00F37F40" w:rsidRPr="00273B46">
                    <w:rPr>
                      <w:rFonts w:ascii="Calibri" w:hAnsi="Calibri" w:cs="Calibri"/>
                      <w:i/>
                      <w:sz w:val="22"/>
                      <w:szCs w:val="22"/>
                    </w:rPr>
                    <w:t>Asterales</w:t>
                  </w:r>
                  <w:r w:rsidR="00F37F40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 for ixeridium yellow mottle virus 2 (</w:t>
                  </w:r>
                  <w:r w:rsidR="004A30CB" w:rsidRPr="00273B46">
                    <w:rPr>
                      <w:rFonts w:ascii="Calibri" w:hAnsi="Calibri" w:cs="Calibri"/>
                      <w:sz w:val="22"/>
                      <w:szCs w:val="22"/>
                    </w:rPr>
                    <w:t>IxYM</w:t>
                  </w:r>
                  <w:r w:rsidR="007A6620" w:rsidRPr="00273B46">
                    <w:rPr>
                      <w:rFonts w:ascii="Calibri" w:hAnsi="Calibri" w:cs="Calibri"/>
                      <w:sz w:val="22"/>
                      <w:szCs w:val="22"/>
                    </w:rPr>
                    <w:t>a</w:t>
                  </w:r>
                  <w:r w:rsidR="004A30CB" w:rsidRPr="00273B46">
                    <w:rPr>
                      <w:rFonts w:ascii="Calibri" w:hAnsi="Calibri" w:cs="Calibri"/>
                      <w:sz w:val="22"/>
                      <w:szCs w:val="22"/>
                    </w:rPr>
                    <w:t>V2</w:t>
                  </w:r>
                  <w:r w:rsidR="000858B6" w:rsidRPr="00273B46">
                    <w:rPr>
                      <w:rFonts w:ascii="Calibri" w:hAnsi="Calibri" w:cs="Calibri"/>
                      <w:sz w:val="22"/>
                      <w:szCs w:val="22"/>
                    </w:rPr>
                    <w:t>) [</w:t>
                  </w:r>
                  <w:r w:rsidR="00FA77BC">
                    <w:rPr>
                      <w:rFonts w:ascii="Calibri" w:hAnsi="Calibri" w:cs="Calibri"/>
                      <w:sz w:val="22"/>
                      <w:szCs w:val="22"/>
                    </w:rPr>
                    <w:t>5</w:t>
                  </w:r>
                  <w:r w:rsidR="000858B6" w:rsidRPr="00273B46">
                    <w:rPr>
                      <w:rFonts w:ascii="Calibri" w:hAnsi="Calibri" w:cs="Calibri"/>
                      <w:sz w:val="22"/>
                      <w:szCs w:val="22"/>
                    </w:rPr>
                    <w:t>]</w:t>
                  </w:r>
                  <w:r w:rsidR="00F37F40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  <w:r w:rsidR="000858B6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and </w:t>
                  </w:r>
                  <w:r w:rsidR="000858B6" w:rsidRPr="00273B46">
                    <w:rPr>
                      <w:rFonts w:ascii="Calibri" w:hAnsi="Calibri" w:cs="Calibri"/>
                      <w:i/>
                      <w:sz w:val="22"/>
                      <w:szCs w:val="22"/>
                    </w:rPr>
                    <w:t>Dipsacales</w:t>
                  </w:r>
                  <w:r w:rsidR="000858B6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 for patrinia mild mottle virus (PatMMoV) [</w:t>
                  </w:r>
                  <w:r w:rsidR="00FA77BC">
                    <w:rPr>
                      <w:rFonts w:ascii="Calibri" w:hAnsi="Calibri" w:cs="Calibri"/>
                      <w:sz w:val="22"/>
                      <w:szCs w:val="22"/>
                    </w:rPr>
                    <w:t>3</w:t>
                  </w:r>
                  <w:r w:rsidR="00273B46">
                    <w:rPr>
                      <w:rFonts w:ascii="Calibri" w:hAnsi="Calibri" w:cs="Calibri"/>
                      <w:sz w:val="22"/>
                      <w:szCs w:val="22"/>
                    </w:rPr>
                    <w:t>]</w:t>
                  </w:r>
                  <w:r w:rsidR="000858B6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  <w:r w:rsidR="00F37F40" w:rsidRPr="00273B46">
                    <w:rPr>
                      <w:rFonts w:ascii="Calibri" w:hAnsi="Calibri" w:cs="Calibri"/>
                      <w:sz w:val="22"/>
                      <w:szCs w:val="22"/>
                    </w:rPr>
                    <w:t>the host spe</w:t>
                  </w:r>
                  <w:r w:rsidR="008719E3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cies are </w:t>
                  </w:r>
                  <w:r w:rsidR="00F37F40" w:rsidRPr="00273B46">
                    <w:rPr>
                      <w:rFonts w:ascii="Calibri" w:hAnsi="Calibri" w:cs="Calibri"/>
                      <w:sz w:val="22"/>
                      <w:szCs w:val="22"/>
                    </w:rPr>
                    <w:t>far apart, so these viruses are unlikely to have overlapping host ranges.</w:t>
                  </w:r>
                  <w:r w:rsidR="00E84FCC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  Both </w:t>
                  </w:r>
                  <w:r w:rsidR="00273B46">
                    <w:rPr>
                      <w:rFonts w:ascii="Calibri" w:hAnsi="Calibri" w:cs="Calibri"/>
                      <w:sz w:val="22"/>
                      <w:szCs w:val="22"/>
                    </w:rPr>
                    <w:t>viruse</w:t>
                  </w:r>
                  <w:r w:rsidR="00E84FCC" w:rsidRPr="00273B46">
                    <w:rPr>
                      <w:rFonts w:ascii="Calibri" w:hAnsi="Calibri" w:cs="Calibri"/>
                      <w:sz w:val="22"/>
                      <w:szCs w:val="22"/>
                    </w:rPr>
                    <w:t>s encode RNA dependent RNA polymerases (RdRps) that are expressed via stop codon readthrough of the upstream repli</w:t>
                  </w:r>
                  <w:r w:rsidRPr="00273B46">
                    <w:rPr>
                      <w:rFonts w:ascii="Calibri" w:hAnsi="Calibri" w:cs="Calibri"/>
                      <w:sz w:val="22"/>
                      <w:szCs w:val="22"/>
                    </w:rPr>
                    <w:t>case associated protein (RAP).</w:t>
                  </w:r>
                </w:p>
                <w:p w14:paraId="5A63B388" w14:textId="3DEB4684" w:rsidR="000834F4" w:rsidRPr="00273B46" w:rsidRDefault="000834F4" w:rsidP="009623BE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14:paraId="2E5CE496" w14:textId="418AB114" w:rsidR="006C4C64" w:rsidRPr="00273B46" w:rsidRDefault="006C4C64" w:rsidP="006C4C6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Criteria for inclusion as a new umbravirus species requires at least </w:t>
                  </w:r>
                  <w:r w:rsidR="00FA77BC">
                    <w:rPr>
                      <w:rFonts w:ascii="Calibri" w:hAnsi="Calibri" w:cs="Calibri"/>
                      <w:sz w:val="22"/>
                      <w:szCs w:val="22"/>
                    </w:rPr>
                    <w:t>two</w:t>
                  </w:r>
                  <w:r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 of the </w:t>
                  </w:r>
                  <w:r w:rsidR="00E512CE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following </w:t>
                  </w:r>
                  <w:r w:rsidR="00FA77BC">
                    <w:rPr>
                      <w:rFonts w:ascii="Calibri" w:hAnsi="Calibri" w:cs="Calibri"/>
                      <w:sz w:val="22"/>
                      <w:szCs w:val="22"/>
                    </w:rPr>
                    <w:t>three</w:t>
                  </w:r>
                  <w:r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 criteria be met</w:t>
                  </w:r>
                  <w:r w:rsidR="008A369B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  <w:r w:rsidR="0041197F" w:rsidRPr="00273B46">
                    <w:rPr>
                      <w:rFonts w:ascii="Calibri" w:hAnsi="Calibri" w:cs="Calibri"/>
                      <w:sz w:val="22"/>
                      <w:szCs w:val="22"/>
                    </w:rPr>
                    <w:t>[</w:t>
                  </w:r>
                  <w:r w:rsidR="00FA77BC">
                    <w:rPr>
                      <w:rFonts w:ascii="Calibri" w:hAnsi="Calibri" w:cs="Calibri"/>
                      <w:sz w:val="22"/>
                      <w:szCs w:val="22"/>
                    </w:rPr>
                    <w:t>4</w:t>
                  </w:r>
                  <w:r w:rsidR="0041197F" w:rsidRPr="00273B46">
                    <w:rPr>
                      <w:rFonts w:ascii="Calibri" w:hAnsi="Calibri" w:cs="Calibri"/>
                      <w:sz w:val="22"/>
                      <w:szCs w:val="22"/>
                    </w:rPr>
                    <w:t>]</w:t>
                  </w:r>
                  <w:r w:rsidRPr="00273B46">
                    <w:rPr>
                      <w:rFonts w:ascii="Calibri" w:hAnsi="Calibri" w:cs="Calibri"/>
                      <w:sz w:val="22"/>
                      <w:szCs w:val="22"/>
                    </w:rPr>
                    <w:t>:</w:t>
                  </w:r>
                </w:p>
                <w:p w14:paraId="3CBA1779" w14:textId="205EFED5" w:rsidR="006C4C64" w:rsidRPr="00273B46" w:rsidRDefault="006C4C64" w:rsidP="006C4C6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    natural host range (including insect vector and helper virus as well as plant species)</w:t>
                  </w:r>
                </w:p>
                <w:p w14:paraId="4A2353A6" w14:textId="68B28CB9" w:rsidR="006C4C64" w:rsidRPr="00273B46" w:rsidRDefault="006C4C64" w:rsidP="006C4C6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    less than 75% aa sequence identity of the viral replicase</w:t>
                  </w:r>
                </w:p>
                <w:p w14:paraId="462B5EE5" w14:textId="77777777" w:rsidR="00237296" w:rsidRPr="00273B46" w:rsidRDefault="006C4C64" w:rsidP="006C4C6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    less than 75% aa sequence identity of cell-to-cell movement protein (MP)</w:t>
                  </w:r>
                </w:p>
                <w:p w14:paraId="3B3BE39D" w14:textId="77777777" w:rsidR="008719E3" w:rsidRPr="00273B46" w:rsidRDefault="008719E3" w:rsidP="006C4C6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14:paraId="0A722E76" w14:textId="4175F865" w:rsidR="008719E3" w:rsidRPr="00273B46" w:rsidRDefault="008B02BA" w:rsidP="006C4C64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273B46">
                    <w:rPr>
                      <w:rFonts w:ascii="Calibri" w:hAnsi="Calibri" w:cs="Calibri"/>
                      <w:sz w:val="22"/>
                      <w:szCs w:val="22"/>
                    </w:rPr>
                    <w:t>BLAST searches with t</w:t>
                  </w:r>
                  <w:r w:rsidR="008719E3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he RdRps </w:t>
                  </w:r>
                  <w:r w:rsidRPr="00273B46">
                    <w:rPr>
                      <w:rFonts w:ascii="Calibri" w:hAnsi="Calibri" w:cs="Calibri"/>
                      <w:sz w:val="22"/>
                      <w:szCs w:val="22"/>
                    </w:rPr>
                    <w:t>and MPs</w:t>
                  </w:r>
                  <w:r w:rsid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 show that </w:t>
                  </w:r>
                  <w:r w:rsidRPr="00273B46">
                    <w:rPr>
                      <w:rFonts w:ascii="Calibri" w:hAnsi="Calibri" w:cs="Calibri"/>
                      <w:sz w:val="22"/>
                      <w:szCs w:val="22"/>
                    </w:rPr>
                    <w:t>both viruses are most similar to each other and to current</w:t>
                  </w:r>
                  <w:r w:rsidR="008719E3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  <w:r w:rsidRPr="00273B46">
                    <w:rPr>
                      <w:rFonts w:ascii="Calibri" w:hAnsi="Calibri" w:cs="Calibri"/>
                      <w:sz w:val="22"/>
                      <w:szCs w:val="22"/>
                    </w:rPr>
                    <w:t>umbravirus protein</w:t>
                  </w:r>
                  <w:r w:rsidR="008719E3" w:rsidRPr="00273B46">
                    <w:rPr>
                      <w:rFonts w:ascii="Calibri" w:hAnsi="Calibri" w:cs="Calibri"/>
                      <w:sz w:val="22"/>
                      <w:szCs w:val="22"/>
                    </w:rPr>
                    <w:t>s</w:t>
                  </w:r>
                  <w:r w:rsidRPr="00273B46">
                    <w:rPr>
                      <w:rFonts w:ascii="Calibri" w:hAnsi="Calibri" w:cs="Calibri"/>
                      <w:sz w:val="22"/>
                      <w:szCs w:val="22"/>
                    </w:rPr>
                    <w:t>, and MUSCLE analyses</w:t>
                  </w:r>
                  <w:r w:rsidR="008719E3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  <w:r w:rsidR="00E278EB" w:rsidRPr="00273B46">
                    <w:rPr>
                      <w:rFonts w:ascii="Calibri" w:hAnsi="Calibri" w:cs="Calibri"/>
                      <w:sz w:val="22"/>
                      <w:szCs w:val="22"/>
                    </w:rPr>
                    <w:t>[1</w:t>
                  </w:r>
                  <w:r w:rsidR="00503015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] </w:t>
                  </w:r>
                  <w:r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also indicates their similarity to each other and </w:t>
                  </w:r>
                  <w:r w:rsidR="00AE4DFC" w:rsidRPr="00273B46">
                    <w:rPr>
                      <w:rFonts w:ascii="Calibri" w:hAnsi="Calibri" w:cs="Calibri"/>
                      <w:sz w:val="22"/>
                      <w:szCs w:val="22"/>
                    </w:rPr>
                    <w:t>current</w:t>
                  </w:r>
                  <w:r w:rsidR="00E45F96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 umbraviruse</w:t>
                  </w:r>
                  <w:r w:rsidRPr="00273B46">
                    <w:rPr>
                      <w:rFonts w:ascii="Calibri" w:hAnsi="Calibri" w:cs="Calibri"/>
                      <w:sz w:val="22"/>
                      <w:szCs w:val="22"/>
                    </w:rPr>
                    <w:t>s</w:t>
                  </w:r>
                  <w:r w:rsidR="00AE4DFC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  <w:r w:rsidR="008719E3" w:rsidRPr="00273B46">
                    <w:rPr>
                      <w:rFonts w:ascii="Calibri" w:hAnsi="Calibri" w:cs="Calibri"/>
                      <w:sz w:val="22"/>
                      <w:szCs w:val="22"/>
                    </w:rPr>
                    <w:t>(Table 1)</w:t>
                  </w:r>
                  <w:r w:rsidR="00C70C24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.  Separate phylogenetic trees for the proteins </w:t>
                  </w:r>
                  <w:r w:rsidRPr="00273B46">
                    <w:rPr>
                      <w:rFonts w:ascii="Calibri" w:hAnsi="Calibri" w:cs="Calibri"/>
                      <w:sz w:val="22"/>
                      <w:szCs w:val="22"/>
                    </w:rPr>
                    <w:t>of current and proposed umbraviruses versus</w:t>
                  </w:r>
                  <w:r w:rsidR="00C70C24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 the analogous proteins of tomat</w:t>
                  </w:r>
                  <w:r w:rsidR="00503015" w:rsidRPr="00273B46">
                    <w:rPr>
                      <w:rFonts w:ascii="Calibri" w:hAnsi="Calibri" w:cs="Calibri"/>
                      <w:sz w:val="22"/>
                      <w:szCs w:val="22"/>
                    </w:rPr>
                    <w:t>o bushy stunt virus (TBSV) show their relationships to the ana</w:t>
                  </w:r>
                  <w:r w:rsidR="00E45F96" w:rsidRPr="00273B46">
                    <w:rPr>
                      <w:rFonts w:ascii="Calibri" w:hAnsi="Calibri" w:cs="Calibri"/>
                      <w:sz w:val="22"/>
                      <w:szCs w:val="22"/>
                    </w:rPr>
                    <w:t>l</w:t>
                  </w:r>
                  <w:r w:rsidR="00503015" w:rsidRPr="00273B46">
                    <w:rPr>
                      <w:rFonts w:ascii="Calibri" w:hAnsi="Calibri" w:cs="Calibri"/>
                      <w:sz w:val="22"/>
                      <w:szCs w:val="22"/>
                    </w:rPr>
                    <w:t>ogous proteins of the family type species</w:t>
                  </w:r>
                  <w:r w:rsidR="00C70C24" w:rsidRPr="00273B46">
                    <w:rPr>
                      <w:rFonts w:ascii="Calibri" w:hAnsi="Calibri" w:cs="Calibri"/>
                      <w:sz w:val="22"/>
                      <w:szCs w:val="22"/>
                    </w:rPr>
                    <w:t>.</w:t>
                  </w:r>
                  <w:r w:rsidR="00EA3C42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  Note that </w:t>
                  </w:r>
                  <w:r w:rsidR="003C1B17" w:rsidRPr="00273B46">
                    <w:rPr>
                      <w:rFonts w:ascii="Calibri" w:hAnsi="Calibri" w:cs="Calibri"/>
                      <w:sz w:val="22"/>
                      <w:szCs w:val="22"/>
                    </w:rPr>
                    <w:t>a sequence for I</w:t>
                  </w:r>
                  <w:r w:rsidR="007A6620" w:rsidRPr="00273B46"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  <w:r w:rsidR="003C1B17" w:rsidRPr="00273B46">
                    <w:rPr>
                      <w:rFonts w:ascii="Calibri" w:hAnsi="Calibri" w:cs="Calibri"/>
                      <w:sz w:val="22"/>
                      <w:szCs w:val="22"/>
                    </w:rPr>
                    <w:t>YM</w:t>
                  </w:r>
                  <w:r w:rsidR="007A6620" w:rsidRPr="00273B46">
                    <w:rPr>
                      <w:rFonts w:ascii="Calibri" w:hAnsi="Calibri" w:cs="Calibri"/>
                      <w:sz w:val="22"/>
                      <w:szCs w:val="22"/>
                    </w:rPr>
                    <w:t>a</w:t>
                  </w:r>
                  <w:r w:rsidR="003C1B17" w:rsidRPr="00273B46">
                    <w:rPr>
                      <w:rFonts w:ascii="Calibri" w:hAnsi="Calibri" w:cs="Calibri"/>
                      <w:sz w:val="22"/>
                      <w:szCs w:val="22"/>
                    </w:rPr>
                    <w:t>V1</w:t>
                  </w:r>
                  <w:r w:rsidR="00EA3C42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  <w:r w:rsidR="003C1B17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(Bonghua isolate) </w:t>
                  </w:r>
                  <w:r w:rsidR="00EA3C42" w:rsidRPr="00273B46">
                    <w:rPr>
                      <w:rFonts w:ascii="Calibri" w:hAnsi="Calibri" w:cs="Calibri"/>
                      <w:sz w:val="22"/>
                      <w:szCs w:val="22"/>
                    </w:rPr>
                    <w:t>[KT946712.1]</w:t>
                  </w:r>
                  <w:r w:rsidR="003C1B17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  <w:r w:rsidR="00E278EB" w:rsidRPr="00273B46">
                    <w:rPr>
                      <w:rFonts w:ascii="Calibri" w:hAnsi="Calibri" w:cs="Calibri"/>
                      <w:sz w:val="22"/>
                      <w:szCs w:val="22"/>
                    </w:rPr>
                    <w:t>[</w:t>
                  </w:r>
                  <w:r w:rsidR="00FA77BC">
                    <w:rPr>
                      <w:rFonts w:ascii="Calibri" w:hAnsi="Calibri" w:cs="Calibri"/>
                      <w:sz w:val="22"/>
                      <w:szCs w:val="22"/>
                    </w:rPr>
                    <w:t>5</w:t>
                  </w:r>
                  <w:r w:rsidR="00E278EB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] </w:t>
                  </w:r>
                  <w:r w:rsidR="003C1B17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was submitted from the same laboratory, and it is listed </w:t>
                  </w:r>
                  <w:r w:rsidRPr="00273B46">
                    <w:rPr>
                      <w:rFonts w:ascii="Calibri" w:hAnsi="Calibri" w:cs="Calibri"/>
                      <w:sz w:val="22"/>
                      <w:szCs w:val="22"/>
                    </w:rPr>
                    <w:t>in GenBank as</w:t>
                  </w:r>
                  <w:r w:rsidR="00E45F96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 a polerovirus, which indicate</w:t>
                  </w:r>
                  <w:r w:rsidR="003C1B17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s it is the helper virus for </w:t>
                  </w:r>
                  <w:r w:rsidR="007A6620" w:rsidRPr="00273B46">
                    <w:rPr>
                      <w:rFonts w:ascii="Calibri" w:hAnsi="Calibri" w:cs="Calibri"/>
                      <w:sz w:val="22"/>
                      <w:szCs w:val="22"/>
                    </w:rPr>
                    <w:t>Ix</w:t>
                  </w:r>
                  <w:r w:rsidR="004A30CB" w:rsidRPr="00273B46">
                    <w:rPr>
                      <w:rFonts w:ascii="Calibri" w:hAnsi="Calibri" w:cs="Calibri"/>
                      <w:sz w:val="22"/>
                      <w:szCs w:val="22"/>
                    </w:rPr>
                    <w:t>YM</w:t>
                  </w:r>
                  <w:r w:rsidR="007A6620" w:rsidRPr="00273B46">
                    <w:rPr>
                      <w:rFonts w:ascii="Calibri" w:hAnsi="Calibri" w:cs="Calibri"/>
                      <w:sz w:val="22"/>
                      <w:szCs w:val="22"/>
                    </w:rPr>
                    <w:t>a</w:t>
                  </w:r>
                  <w:r w:rsidR="004A30CB" w:rsidRPr="00273B46">
                    <w:rPr>
                      <w:rFonts w:ascii="Calibri" w:hAnsi="Calibri" w:cs="Calibri"/>
                      <w:sz w:val="22"/>
                      <w:szCs w:val="22"/>
                    </w:rPr>
                    <w:t>V2</w:t>
                  </w:r>
                  <w:r w:rsidR="003C1B17" w:rsidRPr="00273B46">
                    <w:rPr>
                      <w:rFonts w:ascii="Calibri" w:hAnsi="Calibri" w:cs="Calibri"/>
                      <w:sz w:val="22"/>
                      <w:szCs w:val="22"/>
                    </w:rPr>
                    <w:t>.  There is no sequence with the name of the likely helper virus for Pa</w:t>
                  </w:r>
                  <w:r w:rsidR="007A6620" w:rsidRPr="00273B46">
                    <w:rPr>
                      <w:rFonts w:ascii="Calibri" w:hAnsi="Calibri" w:cs="Calibri"/>
                      <w:sz w:val="22"/>
                      <w:szCs w:val="22"/>
                    </w:rPr>
                    <w:t>t</w:t>
                  </w:r>
                  <w:r w:rsidR="003C1B17" w:rsidRPr="00273B46">
                    <w:rPr>
                      <w:rFonts w:ascii="Calibri" w:hAnsi="Calibri" w:cs="Calibri"/>
                      <w:sz w:val="22"/>
                      <w:szCs w:val="22"/>
                    </w:rPr>
                    <w:t>MM</w:t>
                  </w:r>
                  <w:r w:rsidR="007A6620" w:rsidRPr="00273B46">
                    <w:rPr>
                      <w:rFonts w:ascii="Calibri" w:hAnsi="Calibri" w:cs="Calibri"/>
                      <w:sz w:val="22"/>
                      <w:szCs w:val="22"/>
                    </w:rPr>
                    <w:t>o</w:t>
                  </w:r>
                  <w:r w:rsidR="003C1B17" w:rsidRPr="00273B46">
                    <w:rPr>
                      <w:rFonts w:ascii="Calibri" w:hAnsi="Calibri" w:cs="Calibri"/>
                      <w:sz w:val="22"/>
                      <w:szCs w:val="22"/>
                    </w:rPr>
                    <w:t>V available on the web, and emails to the submitter's lab</w:t>
                  </w:r>
                  <w:r w:rsidR="002E2A46" w:rsidRPr="00273B46">
                    <w:rPr>
                      <w:rFonts w:ascii="Calibri" w:hAnsi="Calibri" w:cs="Calibri"/>
                      <w:sz w:val="22"/>
                      <w:szCs w:val="22"/>
                    </w:rPr>
                    <w:t>or</w:t>
                  </w:r>
                  <w:r w:rsidR="00367AAF" w:rsidRPr="00273B46">
                    <w:rPr>
                      <w:rFonts w:ascii="Calibri" w:hAnsi="Calibri" w:cs="Calibri"/>
                      <w:sz w:val="22"/>
                      <w:szCs w:val="22"/>
                    </w:rPr>
                    <w:t>a</w:t>
                  </w:r>
                  <w:r w:rsidR="002E2A46" w:rsidRPr="00273B46">
                    <w:rPr>
                      <w:rFonts w:ascii="Calibri" w:hAnsi="Calibri" w:cs="Calibri"/>
                      <w:sz w:val="22"/>
                      <w:szCs w:val="22"/>
                    </w:rPr>
                    <w:t>tory</w:t>
                  </w:r>
                  <w:r w:rsidR="003C1B17" w:rsidRPr="00273B46">
                    <w:rPr>
                      <w:rFonts w:ascii="Calibri" w:hAnsi="Calibri" w:cs="Calibri"/>
                      <w:sz w:val="22"/>
                      <w:szCs w:val="22"/>
                    </w:rPr>
                    <w:t xml:space="preserve"> go unanswered.</w:t>
                  </w:r>
                </w:p>
              </w:tc>
            </w:tr>
          </w:tbl>
          <w:p w14:paraId="237A7752" w14:textId="77777777" w:rsidR="00237296" w:rsidRPr="00273B46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747D24D5" w14:textId="77777777" w:rsidR="00F01538" w:rsidRDefault="00F01538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E84A4A4" w14:textId="7FFAF28A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 w:rsidRPr="00273B46">
        <w:rPr>
          <w:rFonts w:ascii="Arial" w:hAnsi="Arial" w:cs="Arial"/>
          <w:b/>
          <w:color w:val="000000"/>
          <w:szCs w:val="24"/>
        </w:rPr>
        <w:t>Supporting evidence</w:t>
      </w:r>
    </w:p>
    <w:p w14:paraId="59379F61" w14:textId="41FA67FE" w:rsidR="00F01538" w:rsidRDefault="00F01538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br w:type="page"/>
      </w:r>
    </w:p>
    <w:p w14:paraId="0F9C306F" w14:textId="6B3CC1E2" w:rsidR="00F01538" w:rsidRDefault="00F01538" w:rsidP="00F01538">
      <w:pPr>
        <w:rPr>
          <w:rFonts w:ascii="Calibri" w:hAnsi="Calibri" w:cs="Calibri"/>
          <w:sz w:val="22"/>
          <w:szCs w:val="22"/>
        </w:rPr>
      </w:pPr>
      <w:r w:rsidRPr="00273B46">
        <w:rPr>
          <w:rFonts w:ascii="Calibri" w:hAnsi="Calibri" w:cs="Calibri"/>
          <w:b/>
          <w:sz w:val="22"/>
          <w:szCs w:val="22"/>
        </w:rPr>
        <w:lastRenderedPageBreak/>
        <w:t>Table 1</w:t>
      </w:r>
      <w:r w:rsidRPr="00273B46">
        <w:rPr>
          <w:rFonts w:ascii="Calibri" w:hAnsi="Calibri" w:cs="Calibri"/>
          <w:sz w:val="22"/>
          <w:szCs w:val="22"/>
        </w:rPr>
        <w:t>.   Percent identities of umbravirus RdRps and ORF4 proteins</w:t>
      </w:r>
      <w:r w:rsidR="00FA77BC">
        <w:rPr>
          <w:rFonts w:ascii="Calibri" w:hAnsi="Calibri" w:cs="Calibri"/>
          <w:sz w:val="22"/>
          <w:szCs w:val="22"/>
        </w:rPr>
        <w:t>.</w:t>
      </w:r>
    </w:p>
    <w:p w14:paraId="2FD0E32A" w14:textId="77777777" w:rsidR="00F01538" w:rsidRDefault="00F01538" w:rsidP="00F01538">
      <w:pPr>
        <w:rPr>
          <w:rFonts w:ascii="Calibri" w:hAnsi="Calibri" w:cs="Calibri"/>
          <w:sz w:val="22"/>
          <w:szCs w:val="22"/>
        </w:rPr>
      </w:pPr>
    </w:p>
    <w:tbl>
      <w:tblPr>
        <w:tblW w:w="9004" w:type="dxa"/>
        <w:tblLook w:val="04A0" w:firstRow="1" w:lastRow="0" w:firstColumn="1" w:lastColumn="0" w:noHBand="0" w:noVBand="1"/>
      </w:tblPr>
      <w:tblGrid>
        <w:gridCol w:w="498"/>
        <w:gridCol w:w="1076"/>
        <w:gridCol w:w="924"/>
        <w:gridCol w:w="1076"/>
        <w:gridCol w:w="763"/>
        <w:gridCol w:w="951"/>
        <w:gridCol w:w="783"/>
        <w:gridCol w:w="607"/>
        <w:gridCol w:w="789"/>
        <w:gridCol w:w="675"/>
        <w:gridCol w:w="862"/>
      </w:tblGrid>
      <w:tr w:rsidR="00E803C0" w:rsidRPr="00273B46" w14:paraId="00F55106" w14:textId="77777777" w:rsidTr="00F01538">
        <w:trPr>
          <w:trHeight w:val="300"/>
        </w:trPr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60437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C7470" w14:textId="77777777" w:rsidR="00E803C0" w:rsidRPr="00273B46" w:rsidRDefault="00E803C0" w:rsidP="00E803C0">
            <w:pPr>
              <w:rPr>
                <w:sz w:val="20"/>
                <w:szCs w:val="20"/>
              </w:rPr>
            </w:pPr>
          </w:p>
        </w:tc>
        <w:tc>
          <w:tcPr>
            <w:tcW w:w="74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CBF14F" w14:textId="7B8F884A" w:rsidR="00E803C0" w:rsidRPr="00273B46" w:rsidRDefault="00AE4DFC" w:rsidP="00E803C0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b/>
                <w:bCs/>
                <w:color w:val="0000FF"/>
                <w:sz w:val="22"/>
                <w:szCs w:val="22"/>
              </w:rPr>
              <w:t>Cell to cell movement proteins</w:t>
            </w:r>
          </w:p>
        </w:tc>
      </w:tr>
      <w:tr w:rsidR="00E803C0" w:rsidRPr="00273B46" w14:paraId="42A6C6F6" w14:textId="77777777" w:rsidTr="00F01538">
        <w:trPr>
          <w:trHeight w:val="300"/>
        </w:trPr>
        <w:tc>
          <w:tcPr>
            <w:tcW w:w="4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2072E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A4BCD" w14:textId="77777777" w:rsidR="00E803C0" w:rsidRPr="00273B46" w:rsidRDefault="00E803C0" w:rsidP="00E803C0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ABF7A" w14:textId="77777777" w:rsidR="00E803C0" w:rsidRPr="00273B46" w:rsidRDefault="00E803C0" w:rsidP="00E803C0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273B46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IxYMV2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09A84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273B46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PaMMoV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482B6" w14:textId="77777777" w:rsidR="00E803C0" w:rsidRPr="00273B46" w:rsidRDefault="00E803C0" w:rsidP="00E803C0">
            <w:pPr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CMoV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741E7" w14:textId="77777777" w:rsidR="00E803C0" w:rsidRPr="00273B46" w:rsidRDefault="00E803C0" w:rsidP="00E803C0">
            <w:pPr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CMoMV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82731" w14:textId="77777777" w:rsidR="00E803C0" w:rsidRPr="00273B46" w:rsidRDefault="00E803C0" w:rsidP="00E803C0">
            <w:pPr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ETBTV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486A" w14:textId="77777777" w:rsidR="00E803C0" w:rsidRPr="00273B46" w:rsidRDefault="00E803C0" w:rsidP="00E803C0">
            <w:pPr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GRV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AB42B" w14:textId="77777777" w:rsidR="00E803C0" w:rsidRPr="00273B46" w:rsidRDefault="00E803C0" w:rsidP="00E803C0">
            <w:pPr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OPMV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EAF29" w14:textId="77777777" w:rsidR="00E803C0" w:rsidRPr="00273B46" w:rsidRDefault="00E803C0" w:rsidP="00E803C0">
            <w:pPr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TBTV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2940F" w14:textId="77777777" w:rsidR="00E803C0" w:rsidRPr="00273B46" w:rsidRDefault="00E803C0" w:rsidP="00E803C0">
            <w:pPr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PEMV2</w:t>
            </w:r>
          </w:p>
        </w:tc>
      </w:tr>
      <w:tr w:rsidR="00E803C0" w:rsidRPr="00273B46" w14:paraId="59AB126E" w14:textId="77777777" w:rsidTr="00F01538">
        <w:trPr>
          <w:trHeight w:val="300"/>
        </w:trPr>
        <w:tc>
          <w:tcPr>
            <w:tcW w:w="498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132B9819" w14:textId="7E414A3F" w:rsidR="00E803C0" w:rsidRPr="00273B46" w:rsidRDefault="00E803C0" w:rsidP="00F01538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B46">
              <w:rPr>
                <w:rFonts w:ascii="Calibri" w:hAnsi="Calibri" w:cs="Calibri"/>
                <w:b/>
                <w:bCs/>
                <w:sz w:val="22"/>
                <w:szCs w:val="22"/>
              </w:rPr>
              <w:t>RdRps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6AA90" w14:textId="77777777" w:rsidR="00E803C0" w:rsidRPr="00273B46" w:rsidRDefault="00E803C0" w:rsidP="00E803C0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273B46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IxYMV2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A01A0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B46">
              <w:rPr>
                <w:rFonts w:ascii="Calibri" w:hAnsi="Calibri" w:cs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D0A27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b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b/>
                <w:color w:val="0000FF"/>
                <w:sz w:val="22"/>
                <w:szCs w:val="22"/>
              </w:rPr>
              <w:t>61.8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B4866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31.9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51671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34.6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ADF64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38.2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8E05D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37.8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40BF5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37.0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B6403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39.0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88ECC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36.8</w:t>
            </w:r>
          </w:p>
        </w:tc>
      </w:tr>
      <w:tr w:rsidR="00E803C0" w:rsidRPr="00273B46" w14:paraId="42A9DB5D" w14:textId="77777777" w:rsidTr="00F01538">
        <w:trPr>
          <w:trHeight w:val="300"/>
        </w:trPr>
        <w:tc>
          <w:tcPr>
            <w:tcW w:w="49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2EEFC80" w14:textId="77777777" w:rsidR="00E803C0" w:rsidRPr="00273B46" w:rsidRDefault="00E803C0" w:rsidP="00E803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97B9C" w14:textId="77777777" w:rsidR="00E803C0" w:rsidRPr="00273B46" w:rsidRDefault="00E803C0" w:rsidP="00E803C0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273B46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PaMMoV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809F5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  <w:r w:rsidRPr="00273B46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>63.8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2C043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B46">
              <w:rPr>
                <w:rFonts w:ascii="Calibri" w:hAnsi="Calibri" w:cs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6B663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37.8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FCAF5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34.8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9EE6C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40.5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C81C6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39.3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B48EA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42.1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93DDC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42.4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6D658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39.0</w:t>
            </w:r>
          </w:p>
        </w:tc>
      </w:tr>
      <w:tr w:rsidR="00E803C0" w:rsidRPr="00273B46" w14:paraId="712915D9" w14:textId="77777777" w:rsidTr="00F01538">
        <w:trPr>
          <w:trHeight w:val="300"/>
        </w:trPr>
        <w:tc>
          <w:tcPr>
            <w:tcW w:w="49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51601F" w14:textId="77777777" w:rsidR="00E803C0" w:rsidRPr="00273B46" w:rsidRDefault="00E803C0" w:rsidP="00E803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136DE" w14:textId="77777777" w:rsidR="00E803C0" w:rsidRPr="00273B46" w:rsidRDefault="00E803C0" w:rsidP="00E803C0">
            <w:pPr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CMoV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29F92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49.2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04B00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51.5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A2A38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B46">
              <w:rPr>
                <w:rFonts w:ascii="Calibri" w:hAnsi="Calibri" w:cs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2A3C6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55.7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1BF77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40.1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B1E94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39.0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1189C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39.5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A1AD2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44.0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3D7C2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38.8</w:t>
            </w:r>
          </w:p>
        </w:tc>
      </w:tr>
      <w:tr w:rsidR="00E803C0" w:rsidRPr="00273B46" w14:paraId="4A9C7BC6" w14:textId="77777777" w:rsidTr="00F01538">
        <w:trPr>
          <w:trHeight w:val="300"/>
        </w:trPr>
        <w:tc>
          <w:tcPr>
            <w:tcW w:w="49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382702" w14:textId="77777777" w:rsidR="00E803C0" w:rsidRPr="00273B46" w:rsidRDefault="00E803C0" w:rsidP="00E803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D5743" w14:textId="77777777" w:rsidR="00E803C0" w:rsidRPr="00273B46" w:rsidRDefault="00E803C0" w:rsidP="00E803C0">
            <w:pPr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CMoMV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96F84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52.8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8146A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53.0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3EAEB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58.5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80CFE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B46">
              <w:rPr>
                <w:rFonts w:ascii="Calibri" w:hAnsi="Calibri" w:cs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73B06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35.7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02B5A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35.3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BCAD3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35.4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0E427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41.1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DB4C4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39.1</w:t>
            </w:r>
          </w:p>
        </w:tc>
      </w:tr>
      <w:tr w:rsidR="00E803C0" w:rsidRPr="00273B46" w14:paraId="0BA946B8" w14:textId="77777777" w:rsidTr="00F01538">
        <w:trPr>
          <w:trHeight w:val="300"/>
        </w:trPr>
        <w:tc>
          <w:tcPr>
            <w:tcW w:w="49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0453A16" w14:textId="77777777" w:rsidR="00E803C0" w:rsidRPr="00273B46" w:rsidRDefault="00E803C0" w:rsidP="00E803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2520F" w14:textId="77777777" w:rsidR="00E803C0" w:rsidRPr="00273B46" w:rsidRDefault="00E803C0" w:rsidP="00E803C0">
            <w:pPr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ETBTV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2CADC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49.0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D49B7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49.3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1CB9E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50.9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D59F2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50.3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061D1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B46">
              <w:rPr>
                <w:rFonts w:ascii="Calibri" w:hAnsi="Calibri" w:cs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58503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77.9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CA81E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57.4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A739F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62.6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263BE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55.2</w:t>
            </w:r>
          </w:p>
        </w:tc>
      </w:tr>
      <w:tr w:rsidR="00E803C0" w:rsidRPr="00273B46" w14:paraId="0C1EA061" w14:textId="77777777" w:rsidTr="00F01538">
        <w:trPr>
          <w:trHeight w:val="300"/>
        </w:trPr>
        <w:tc>
          <w:tcPr>
            <w:tcW w:w="49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0ABA63" w14:textId="77777777" w:rsidR="00E803C0" w:rsidRPr="00273B46" w:rsidRDefault="00E803C0" w:rsidP="00E803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D54FC" w14:textId="77777777" w:rsidR="00E803C0" w:rsidRPr="00273B46" w:rsidRDefault="00E803C0" w:rsidP="00E803C0">
            <w:pPr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GRV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22C7B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49.8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11180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50.0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9126C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49.4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4988B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50.3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CE823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71.8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23FCF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B46">
              <w:rPr>
                <w:rFonts w:ascii="Calibri" w:hAnsi="Calibri" w:cs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6D1C6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55.9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A7026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60.1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D25C3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54.8</w:t>
            </w:r>
          </w:p>
        </w:tc>
      </w:tr>
      <w:tr w:rsidR="00E803C0" w:rsidRPr="00273B46" w14:paraId="0103D927" w14:textId="77777777" w:rsidTr="00F01538">
        <w:trPr>
          <w:trHeight w:val="300"/>
        </w:trPr>
        <w:tc>
          <w:tcPr>
            <w:tcW w:w="49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FB6A81" w14:textId="77777777" w:rsidR="00E803C0" w:rsidRPr="00273B46" w:rsidRDefault="00E803C0" w:rsidP="00E803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1925C" w14:textId="77777777" w:rsidR="00E803C0" w:rsidRPr="00273B46" w:rsidRDefault="00E803C0" w:rsidP="00E803C0">
            <w:pPr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OPMV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88F70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46.7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3A87C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46.7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37877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48.1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1116B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45.1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62BCF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55.1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B7A72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57.0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51D84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B46">
              <w:rPr>
                <w:rFonts w:ascii="Calibri" w:hAnsi="Calibri" w:cs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A09F9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63.9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D7810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51.2</w:t>
            </w:r>
          </w:p>
        </w:tc>
      </w:tr>
      <w:tr w:rsidR="00E803C0" w:rsidRPr="00273B46" w14:paraId="58D12DA4" w14:textId="77777777" w:rsidTr="00F01538">
        <w:trPr>
          <w:trHeight w:val="300"/>
        </w:trPr>
        <w:tc>
          <w:tcPr>
            <w:tcW w:w="49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BAE70C2" w14:textId="77777777" w:rsidR="00E803C0" w:rsidRPr="00273B46" w:rsidRDefault="00E803C0" w:rsidP="00E803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86FCF" w14:textId="77777777" w:rsidR="00E803C0" w:rsidRPr="00273B46" w:rsidRDefault="00E803C0" w:rsidP="00E803C0">
            <w:pPr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TBTV</w:t>
            </w:r>
          </w:p>
        </w:tc>
        <w:tc>
          <w:tcPr>
            <w:tcW w:w="9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6396C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48.3</w:t>
            </w:r>
          </w:p>
        </w:tc>
        <w:tc>
          <w:tcPr>
            <w:tcW w:w="10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59E87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48.0</w:t>
            </w:r>
          </w:p>
        </w:tc>
        <w:tc>
          <w:tcPr>
            <w:tcW w:w="7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F8705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50.1</w:t>
            </w:r>
          </w:p>
        </w:tc>
        <w:tc>
          <w:tcPr>
            <w:tcW w:w="9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BACE6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49.0</w:t>
            </w:r>
          </w:p>
        </w:tc>
        <w:tc>
          <w:tcPr>
            <w:tcW w:w="7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4C47A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57.4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25CC1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58.2</w:t>
            </w:r>
          </w:p>
        </w:tc>
        <w:tc>
          <w:tcPr>
            <w:tcW w:w="7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D2930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62.6</w:t>
            </w:r>
          </w:p>
        </w:tc>
        <w:tc>
          <w:tcPr>
            <w:tcW w:w="6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1DE71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B46">
              <w:rPr>
                <w:rFonts w:ascii="Calibri" w:hAnsi="Calibri" w:cs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F843E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273B46">
              <w:rPr>
                <w:rFonts w:ascii="Calibri" w:hAnsi="Calibri" w:cs="Calibri"/>
                <w:color w:val="0000FF"/>
                <w:sz w:val="22"/>
                <w:szCs w:val="22"/>
              </w:rPr>
              <w:t>59.2</w:t>
            </w:r>
          </w:p>
        </w:tc>
      </w:tr>
      <w:tr w:rsidR="00E803C0" w:rsidRPr="00273B46" w14:paraId="2364B19B" w14:textId="77777777" w:rsidTr="00F01538">
        <w:trPr>
          <w:trHeight w:val="300"/>
        </w:trPr>
        <w:tc>
          <w:tcPr>
            <w:tcW w:w="49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D0D4CD" w14:textId="77777777" w:rsidR="00E803C0" w:rsidRPr="00273B46" w:rsidRDefault="00E803C0" w:rsidP="00E803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0AFB6" w14:textId="77777777" w:rsidR="00E803C0" w:rsidRPr="00273B46" w:rsidRDefault="00E803C0" w:rsidP="00E803C0">
            <w:pPr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PEMV2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E1C10A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48.5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B79A5E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50.2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A9B3D6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48.4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64C83F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47.0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62F8DE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50.2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F250A3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50.3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C5DF3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50.5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7CF9DB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3B46">
              <w:rPr>
                <w:rFonts w:ascii="Calibri" w:hAnsi="Calibri" w:cs="Calibri"/>
                <w:sz w:val="22"/>
                <w:szCs w:val="22"/>
              </w:rPr>
              <w:t>50.8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8A4ACF" w14:textId="77777777" w:rsidR="00E803C0" w:rsidRPr="00273B46" w:rsidRDefault="00E803C0" w:rsidP="00E803C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B46">
              <w:rPr>
                <w:rFonts w:ascii="Calibri" w:hAnsi="Calibri" w:cs="Calibri"/>
                <w:b/>
                <w:bCs/>
                <w:sz w:val="22"/>
                <w:szCs w:val="22"/>
              </w:rPr>
              <w:t>100</w:t>
            </w:r>
          </w:p>
        </w:tc>
      </w:tr>
    </w:tbl>
    <w:p w14:paraId="47E78A22" w14:textId="4D97FCAC" w:rsidR="00E45F96" w:rsidRPr="00273B46" w:rsidRDefault="00E45F96" w:rsidP="00273B46">
      <w:pPr>
        <w:ind w:firstLine="1890"/>
        <w:rPr>
          <w:rFonts w:ascii="Arial" w:hAnsi="Arial" w:cs="Arial"/>
          <w:b/>
          <w:sz w:val="22"/>
          <w:szCs w:val="22"/>
        </w:rPr>
      </w:pPr>
    </w:p>
    <w:p w14:paraId="6894DC51" w14:textId="2B03D5EF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528F4A26" w14:textId="31AF23B0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01FDB7C2" w14:textId="1FBD1862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  <w:r w:rsidRPr="00273B46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658DCC24" wp14:editId="2E493E4E">
            <wp:simplePos x="0" y="0"/>
            <wp:positionH relativeFrom="column">
              <wp:posOffset>1376680</wp:posOffset>
            </wp:positionH>
            <wp:positionV relativeFrom="paragraph">
              <wp:posOffset>142875</wp:posOffset>
            </wp:positionV>
            <wp:extent cx="3071566" cy="43287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1566" cy="4328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44E9D2" w14:textId="1E00CCCA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71AF4CC5" w14:textId="77777777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2A5B9CDA" w14:textId="77777777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003068D5" w14:textId="77777777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124ACC23" w14:textId="77777777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622C12DF" w14:textId="77777777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1DC34B7D" w14:textId="77777777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23F5B45E" w14:textId="77777777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5FD6D301" w14:textId="77777777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26E0BDCB" w14:textId="77777777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5703511C" w14:textId="77777777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2B545AED" w14:textId="77777777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1AFB1ED6" w14:textId="77777777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188AD6A0" w14:textId="77777777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5C6BF358" w14:textId="77777777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617902DC" w14:textId="77777777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281A3DEE" w14:textId="77777777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0CBCC29D" w14:textId="77777777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74B7F034" w14:textId="77777777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05C0B779" w14:textId="77777777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5DE09DEB" w14:textId="77777777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49FC3F4C" w14:textId="77777777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605F385E" w14:textId="77777777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3553A6C5" w14:textId="77777777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3B525D6C" w14:textId="77777777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72E7533E" w14:textId="77777777" w:rsidR="00F01538" w:rsidRDefault="00F01538" w:rsidP="00237296">
      <w:pPr>
        <w:rPr>
          <w:rFonts w:asciiTheme="minorHAnsi" w:hAnsiTheme="minorHAnsi" w:cstheme="minorHAnsi"/>
          <w:b/>
          <w:sz w:val="22"/>
          <w:szCs w:val="22"/>
        </w:rPr>
      </w:pPr>
    </w:p>
    <w:p w14:paraId="5F0B33BA" w14:textId="2523D8B1" w:rsidR="00237296" w:rsidRDefault="00D93D3B" w:rsidP="00237296">
      <w:pPr>
        <w:rPr>
          <w:rFonts w:asciiTheme="minorHAnsi" w:hAnsiTheme="minorHAnsi" w:cstheme="minorHAnsi"/>
          <w:b/>
          <w:sz w:val="22"/>
          <w:szCs w:val="22"/>
        </w:rPr>
      </w:pPr>
      <w:r w:rsidRPr="00273B46">
        <w:rPr>
          <w:rFonts w:asciiTheme="minorHAnsi" w:hAnsiTheme="minorHAnsi" w:cstheme="minorHAnsi"/>
          <w:b/>
          <w:sz w:val="22"/>
          <w:szCs w:val="22"/>
        </w:rPr>
        <w:t>Fig. 1</w:t>
      </w:r>
      <w:r w:rsidRPr="00273B46">
        <w:rPr>
          <w:rFonts w:asciiTheme="minorHAnsi" w:hAnsiTheme="minorHAnsi" w:cstheme="minorHAnsi"/>
          <w:sz w:val="22"/>
          <w:szCs w:val="22"/>
        </w:rPr>
        <w:t xml:space="preserve"> Phylogenetic (distance) analyses of the umbravirus cell-to-cell movement proteins (MPs) vs TBSV </w:t>
      </w:r>
      <w:r w:rsidR="00273B46">
        <w:rPr>
          <w:rFonts w:asciiTheme="minorHAnsi" w:hAnsiTheme="minorHAnsi" w:cstheme="minorHAnsi"/>
          <w:sz w:val="22"/>
          <w:szCs w:val="22"/>
        </w:rPr>
        <w:t>MP</w:t>
      </w:r>
      <w:r w:rsidR="00503015" w:rsidRPr="00273B46">
        <w:rPr>
          <w:rFonts w:asciiTheme="minorHAnsi" w:hAnsiTheme="minorHAnsi" w:cstheme="minorHAnsi"/>
          <w:sz w:val="22"/>
          <w:szCs w:val="22"/>
        </w:rPr>
        <w:t>,</w:t>
      </w:r>
      <w:r w:rsidR="00FA3EBF" w:rsidRPr="00273B46">
        <w:rPr>
          <w:rFonts w:asciiTheme="minorHAnsi" w:hAnsiTheme="minorHAnsi" w:cstheme="minorHAnsi"/>
          <w:sz w:val="22"/>
          <w:szCs w:val="22"/>
        </w:rPr>
        <w:t xml:space="preserve"> and RdRps vs TBSV RdRp</w:t>
      </w:r>
      <w:r w:rsidRPr="00273B46">
        <w:rPr>
          <w:rFonts w:asciiTheme="minorHAnsi" w:hAnsiTheme="minorHAnsi" w:cstheme="minorHAnsi"/>
          <w:sz w:val="22"/>
          <w:szCs w:val="22"/>
        </w:rPr>
        <w:t xml:space="preserve">. Protein alignments were performed using MUSCLE </w:t>
      </w:r>
      <w:r w:rsidR="009E143A" w:rsidRPr="00273B46">
        <w:rPr>
          <w:rFonts w:asciiTheme="minorHAnsi" w:hAnsiTheme="minorHAnsi" w:cstheme="minorHAnsi"/>
          <w:sz w:val="22"/>
          <w:szCs w:val="22"/>
        </w:rPr>
        <w:t>[</w:t>
      </w:r>
      <w:r w:rsidR="00E278EB" w:rsidRPr="00273B46">
        <w:rPr>
          <w:rFonts w:asciiTheme="minorHAnsi" w:hAnsiTheme="minorHAnsi" w:cstheme="minorHAnsi"/>
          <w:sz w:val="22"/>
          <w:szCs w:val="22"/>
        </w:rPr>
        <w:t>1</w:t>
      </w:r>
      <w:r w:rsidR="005A7EE3" w:rsidRPr="00273B46">
        <w:rPr>
          <w:rFonts w:asciiTheme="minorHAnsi" w:hAnsiTheme="minorHAnsi" w:cstheme="minorHAnsi"/>
          <w:sz w:val="22"/>
          <w:szCs w:val="22"/>
        </w:rPr>
        <w:t xml:space="preserve">] </w:t>
      </w:r>
      <w:r w:rsidRPr="00273B46">
        <w:rPr>
          <w:rFonts w:asciiTheme="minorHAnsi" w:hAnsiTheme="minorHAnsi" w:cstheme="minorHAnsi"/>
          <w:sz w:val="22"/>
          <w:szCs w:val="22"/>
        </w:rPr>
        <w:t>while trees were generated in Mega 7</w:t>
      </w:r>
      <w:r w:rsidR="00273B46">
        <w:rPr>
          <w:rFonts w:asciiTheme="minorHAnsi" w:hAnsiTheme="minorHAnsi" w:cstheme="minorHAnsi"/>
          <w:sz w:val="22"/>
          <w:szCs w:val="22"/>
        </w:rPr>
        <w:t xml:space="preserve"> </w:t>
      </w:r>
      <w:r w:rsidRPr="00273B46">
        <w:rPr>
          <w:rFonts w:asciiTheme="minorHAnsi" w:hAnsiTheme="minorHAnsi" w:cstheme="minorHAnsi"/>
          <w:sz w:val="22"/>
          <w:szCs w:val="22"/>
        </w:rPr>
        <w:t>[</w:t>
      </w:r>
      <w:r w:rsidR="00FA77BC">
        <w:rPr>
          <w:rFonts w:asciiTheme="minorHAnsi" w:hAnsiTheme="minorHAnsi" w:cstheme="minorHAnsi"/>
          <w:sz w:val="22"/>
          <w:szCs w:val="22"/>
        </w:rPr>
        <w:t>2</w:t>
      </w:r>
      <w:r w:rsidRPr="00273B46">
        <w:rPr>
          <w:rFonts w:asciiTheme="minorHAnsi" w:hAnsiTheme="minorHAnsi" w:cstheme="minorHAnsi"/>
          <w:sz w:val="22"/>
          <w:szCs w:val="22"/>
        </w:rPr>
        <w:t>] with the Maximum Likelihood algorithm using 200 bootstrap replicates. All positions with less than 50% site coverage were eliminated. There were 256 positions for MPs and 859 positions for RdRps. Trees are shown with their scale bars; for both trees the brackets connecting TBSV protein to umbravirus proteins were shortened proportionately to save space</w:t>
      </w:r>
      <w:r w:rsidRPr="00273B46">
        <w:rPr>
          <w:rFonts w:asciiTheme="minorHAnsi" w:hAnsiTheme="minorHAnsi" w:cstheme="minorHAnsi"/>
          <w:b/>
          <w:sz w:val="22"/>
          <w:szCs w:val="22"/>
        </w:rPr>
        <w:t>.</w:t>
      </w:r>
    </w:p>
    <w:p w14:paraId="784DF11A" w14:textId="3BA3F1BC" w:rsidR="00237296" w:rsidRPr="00273B46" w:rsidRDefault="00237296" w:rsidP="007B1846">
      <w:pPr>
        <w:spacing w:before="120" w:after="120"/>
        <w:rPr>
          <w:rFonts w:ascii="Arial" w:hAnsi="Arial" w:cs="Arial"/>
          <w:b/>
        </w:rPr>
      </w:pPr>
      <w:r w:rsidRPr="00273B46">
        <w:rPr>
          <w:rFonts w:ascii="Arial" w:hAnsi="Arial" w:cs="Arial"/>
          <w:b/>
        </w:rPr>
        <w:lastRenderedPageBreak/>
        <w:t>References</w:t>
      </w:r>
    </w:p>
    <w:p w14:paraId="31651E75" w14:textId="2E29BF3C" w:rsidR="004A35D7" w:rsidRPr="00273B46" w:rsidRDefault="004A35D7" w:rsidP="004A35D7">
      <w:pPr>
        <w:ind w:left="360" w:hanging="360"/>
        <w:rPr>
          <w:rFonts w:ascii="Arial" w:hAnsi="Arial" w:cs="Arial"/>
          <w:sz w:val="20"/>
        </w:rPr>
      </w:pPr>
      <w:r w:rsidRPr="00273B46">
        <w:rPr>
          <w:rFonts w:ascii="Arial" w:hAnsi="Arial" w:cs="Arial"/>
          <w:sz w:val="20"/>
        </w:rPr>
        <w:t>1.</w:t>
      </w:r>
      <w:r w:rsidRPr="00273B46">
        <w:rPr>
          <w:rFonts w:ascii="Arial" w:hAnsi="Arial" w:cs="Arial"/>
          <w:sz w:val="20"/>
        </w:rPr>
        <w:tab/>
        <w:t>Edgar RC (2004) MUSCLE: a multiple sequence alignment method with reduced time and space complexity. BMC Bioinf 5:113</w:t>
      </w:r>
      <w:r w:rsidR="00A63F89" w:rsidRPr="00273B46">
        <w:rPr>
          <w:rFonts w:ascii="Arial" w:hAnsi="Arial" w:cs="Arial"/>
          <w:sz w:val="20"/>
        </w:rPr>
        <w:t>. PMC 517706. DOI:10.1186/1471-2105-5-113</w:t>
      </w:r>
    </w:p>
    <w:p w14:paraId="4928EA6B" w14:textId="54521349" w:rsidR="004A35D7" w:rsidRPr="00273B46" w:rsidRDefault="00FA77BC" w:rsidP="004A35D7">
      <w:pPr>
        <w:ind w:left="360" w:hanging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</w:t>
      </w:r>
      <w:r w:rsidR="004A35D7" w:rsidRPr="00273B46">
        <w:rPr>
          <w:rFonts w:ascii="Arial" w:hAnsi="Arial" w:cs="Arial"/>
          <w:sz w:val="20"/>
        </w:rPr>
        <w:t>.</w:t>
      </w:r>
      <w:r w:rsidR="004A35D7" w:rsidRPr="00273B46">
        <w:rPr>
          <w:rFonts w:ascii="Arial" w:hAnsi="Arial" w:cs="Arial"/>
          <w:sz w:val="20"/>
        </w:rPr>
        <w:tab/>
        <w:t xml:space="preserve">Kumar S, Stecher G, Tamura K (2016) MEGA7: Molecular Evolutionary Genetics Analysis Version 7.0 for </w:t>
      </w:r>
      <w:r w:rsidR="006B7504">
        <w:rPr>
          <w:rFonts w:ascii="Arial" w:hAnsi="Arial" w:cs="Arial"/>
          <w:sz w:val="20"/>
        </w:rPr>
        <w:t>b</w:t>
      </w:r>
      <w:r w:rsidR="004A35D7" w:rsidRPr="00273B46">
        <w:rPr>
          <w:rFonts w:ascii="Arial" w:hAnsi="Arial" w:cs="Arial"/>
          <w:sz w:val="20"/>
        </w:rPr>
        <w:t xml:space="preserve">igger </w:t>
      </w:r>
      <w:r w:rsidR="006B7504">
        <w:rPr>
          <w:rFonts w:ascii="Arial" w:hAnsi="Arial" w:cs="Arial"/>
          <w:sz w:val="20"/>
        </w:rPr>
        <w:t>d</w:t>
      </w:r>
      <w:r w:rsidR="004A35D7" w:rsidRPr="00273B46">
        <w:rPr>
          <w:rFonts w:ascii="Arial" w:hAnsi="Arial" w:cs="Arial"/>
          <w:sz w:val="20"/>
        </w:rPr>
        <w:t>atasets. Mol Biol Evol 33:1870-1874</w:t>
      </w:r>
      <w:r w:rsidR="005E493D" w:rsidRPr="00273B46">
        <w:rPr>
          <w:rFonts w:ascii="Arial" w:hAnsi="Arial" w:cs="Arial"/>
          <w:sz w:val="20"/>
        </w:rPr>
        <w:t xml:space="preserve">. </w:t>
      </w:r>
      <w:r w:rsidRPr="00FA77BC">
        <w:rPr>
          <w:rFonts w:ascii="Arial" w:hAnsi="Arial" w:cs="Arial"/>
          <w:sz w:val="20"/>
        </w:rPr>
        <w:t>PMID: 27004904</w:t>
      </w:r>
      <w:r>
        <w:rPr>
          <w:rFonts w:ascii="Arial" w:hAnsi="Arial" w:cs="Arial"/>
          <w:sz w:val="20"/>
        </w:rPr>
        <w:t xml:space="preserve"> </w:t>
      </w:r>
      <w:r w:rsidR="005E493D" w:rsidRPr="00273B46">
        <w:rPr>
          <w:rFonts w:ascii="Arial" w:hAnsi="Arial" w:cs="Arial"/>
          <w:sz w:val="20"/>
        </w:rPr>
        <w:t>DOI:10.1093/molbev/msw054.</w:t>
      </w:r>
    </w:p>
    <w:p w14:paraId="41B5D6A0" w14:textId="591E0C04" w:rsidR="004A35D7" w:rsidRPr="00273B46" w:rsidRDefault="00FA77BC" w:rsidP="004A35D7">
      <w:pPr>
        <w:ind w:left="360" w:hanging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</w:t>
      </w:r>
      <w:r w:rsidR="004A35D7" w:rsidRPr="00273B46">
        <w:rPr>
          <w:rFonts w:ascii="Arial" w:hAnsi="Arial" w:cs="Arial"/>
          <w:sz w:val="20"/>
        </w:rPr>
        <w:t>.</w:t>
      </w:r>
      <w:r w:rsidR="004A35D7" w:rsidRPr="00273B46">
        <w:rPr>
          <w:rFonts w:ascii="Arial" w:hAnsi="Arial" w:cs="Arial"/>
          <w:sz w:val="20"/>
        </w:rPr>
        <w:tab/>
        <w:t xml:space="preserve">Lim S, Lee S-H, Moon JS (2019) Complete genome sequence of a tentative new umbravirus isolated from </w:t>
      </w:r>
      <w:r w:rsidR="004A35D7" w:rsidRPr="00273B46">
        <w:rPr>
          <w:rFonts w:ascii="Arial" w:hAnsi="Arial" w:cs="Arial"/>
          <w:i/>
          <w:sz w:val="20"/>
        </w:rPr>
        <w:t>Patrinia scabiosaefolia</w:t>
      </w:r>
      <w:r w:rsidR="004A35D7" w:rsidRPr="00273B46">
        <w:rPr>
          <w:rFonts w:ascii="Arial" w:hAnsi="Arial" w:cs="Arial"/>
          <w:sz w:val="20"/>
        </w:rPr>
        <w:t>. Arch Virol</w:t>
      </w:r>
      <w:r>
        <w:rPr>
          <w:rFonts w:ascii="Arial" w:hAnsi="Arial" w:cs="Arial"/>
          <w:sz w:val="20"/>
        </w:rPr>
        <w:t xml:space="preserve"> </w:t>
      </w:r>
      <w:r w:rsidR="004A35D7" w:rsidRPr="00273B46">
        <w:rPr>
          <w:rFonts w:ascii="Arial" w:hAnsi="Arial" w:cs="Arial"/>
          <w:sz w:val="20"/>
        </w:rPr>
        <w:t>164:2375-2378</w:t>
      </w:r>
      <w:r w:rsidR="005E493D" w:rsidRPr="00273B46">
        <w:rPr>
          <w:rFonts w:ascii="Arial" w:hAnsi="Arial" w:cs="Arial"/>
          <w:sz w:val="20"/>
        </w:rPr>
        <w:t xml:space="preserve">. </w:t>
      </w:r>
      <w:r w:rsidRPr="00FA77BC">
        <w:rPr>
          <w:rFonts w:ascii="Arial" w:hAnsi="Arial" w:cs="Arial"/>
          <w:sz w:val="20"/>
        </w:rPr>
        <w:t xml:space="preserve">PMID: 31183555 </w:t>
      </w:r>
      <w:r>
        <w:rPr>
          <w:rFonts w:ascii="Arial" w:hAnsi="Arial" w:cs="Arial"/>
          <w:sz w:val="20"/>
        </w:rPr>
        <w:t xml:space="preserve"> </w:t>
      </w:r>
      <w:r w:rsidR="005E493D" w:rsidRPr="00273B46">
        <w:rPr>
          <w:rFonts w:ascii="Arial" w:hAnsi="Arial" w:cs="Arial"/>
          <w:sz w:val="20"/>
        </w:rPr>
        <w:t xml:space="preserve">DOI:10.1007/s00705-019-04312-y. </w:t>
      </w:r>
    </w:p>
    <w:p w14:paraId="77F78419" w14:textId="730AC4B8" w:rsidR="004A35D7" w:rsidRPr="00273B46" w:rsidRDefault="00FA77BC" w:rsidP="004A35D7">
      <w:pPr>
        <w:ind w:left="360" w:hanging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</w:t>
      </w:r>
      <w:r w:rsidR="004A35D7" w:rsidRPr="00273B46">
        <w:rPr>
          <w:rFonts w:ascii="Arial" w:hAnsi="Arial" w:cs="Arial"/>
          <w:sz w:val="20"/>
        </w:rPr>
        <w:t>.</w:t>
      </w:r>
      <w:r w:rsidR="004A35D7" w:rsidRPr="00273B46">
        <w:rPr>
          <w:rFonts w:ascii="Arial" w:hAnsi="Arial" w:cs="Arial"/>
          <w:sz w:val="20"/>
        </w:rPr>
        <w:tab/>
        <w:t xml:space="preserve">Rochon DA, Scheets K, White A, Martelli G, Rubino L (2014) ICTV </w:t>
      </w:r>
      <w:r w:rsidR="006B7504">
        <w:rPr>
          <w:rFonts w:ascii="Arial" w:hAnsi="Arial" w:cs="Arial"/>
          <w:sz w:val="20"/>
        </w:rPr>
        <w:t>T</w:t>
      </w:r>
      <w:r w:rsidR="004A35D7" w:rsidRPr="00273B46">
        <w:rPr>
          <w:rFonts w:ascii="Arial" w:hAnsi="Arial" w:cs="Arial"/>
          <w:sz w:val="20"/>
        </w:rPr>
        <w:t xml:space="preserve">axonomic </w:t>
      </w:r>
      <w:r w:rsidR="006B7504">
        <w:rPr>
          <w:rFonts w:ascii="Arial" w:hAnsi="Arial" w:cs="Arial"/>
          <w:sz w:val="20"/>
        </w:rPr>
        <w:t>P</w:t>
      </w:r>
      <w:r w:rsidR="004A35D7" w:rsidRPr="00273B46">
        <w:rPr>
          <w:rFonts w:ascii="Arial" w:hAnsi="Arial" w:cs="Arial"/>
          <w:sz w:val="20"/>
        </w:rPr>
        <w:t xml:space="preserve">roposal 2013.010a,bP.A.v2.Umbravirus_move. Move genus </w:t>
      </w:r>
      <w:r w:rsidR="004A35D7" w:rsidRPr="00FA77BC">
        <w:rPr>
          <w:rFonts w:ascii="Arial" w:hAnsi="Arial" w:cs="Arial"/>
          <w:i/>
          <w:iCs/>
          <w:sz w:val="20"/>
        </w:rPr>
        <w:t>Umbravirus</w:t>
      </w:r>
      <w:r w:rsidR="004A35D7" w:rsidRPr="00273B46">
        <w:rPr>
          <w:rFonts w:ascii="Arial" w:hAnsi="Arial" w:cs="Arial"/>
          <w:sz w:val="20"/>
        </w:rPr>
        <w:t xml:space="preserve"> into family </w:t>
      </w:r>
      <w:r w:rsidR="004A35D7" w:rsidRPr="00FA77BC">
        <w:rPr>
          <w:rFonts w:ascii="Arial" w:hAnsi="Arial" w:cs="Arial"/>
          <w:i/>
          <w:iCs/>
          <w:sz w:val="20"/>
        </w:rPr>
        <w:t>Tombusviridae</w:t>
      </w:r>
      <w:r w:rsidR="004A35D7" w:rsidRPr="00273B46">
        <w:rPr>
          <w:rFonts w:ascii="Arial" w:hAnsi="Arial" w:cs="Arial"/>
          <w:sz w:val="20"/>
        </w:rPr>
        <w:t xml:space="preserve">.  http://www.ictvonline.org/proposals-14/2013.010a,bP.A.v2.Umbravirus_move.pdf. </w:t>
      </w:r>
    </w:p>
    <w:p w14:paraId="7F85D836" w14:textId="535AD47B" w:rsidR="008A369B" w:rsidRPr="00FA77BC" w:rsidRDefault="00FA77BC" w:rsidP="004A35D7">
      <w:pPr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</w:rPr>
        <w:t>5</w:t>
      </w:r>
      <w:r w:rsidR="004A35D7" w:rsidRPr="00273B46">
        <w:rPr>
          <w:rFonts w:ascii="Arial" w:hAnsi="Arial" w:cs="Arial"/>
          <w:sz w:val="20"/>
        </w:rPr>
        <w:t>.</w:t>
      </w:r>
      <w:r w:rsidR="004A35D7" w:rsidRPr="00273B46">
        <w:rPr>
          <w:rFonts w:ascii="Arial" w:hAnsi="Arial" w:cs="Arial"/>
          <w:sz w:val="20"/>
        </w:rPr>
        <w:tab/>
        <w:t xml:space="preserve">Yoo RH, Lee S-W, Lim S, Zhao F, Igori D, Baek D, Hong J-S, Lee S-H, Moon JS (2017) Complete genome analysis of a novel umbravirus-polerovirus combination isolated from </w:t>
      </w:r>
      <w:r w:rsidR="004A35D7" w:rsidRPr="00273B46">
        <w:rPr>
          <w:rFonts w:ascii="Arial" w:hAnsi="Arial" w:cs="Arial"/>
          <w:i/>
          <w:sz w:val="20"/>
        </w:rPr>
        <w:t>Ixeridium dentatum</w:t>
      </w:r>
      <w:r w:rsidR="004A35D7" w:rsidRPr="00273B46">
        <w:rPr>
          <w:rFonts w:ascii="Arial" w:hAnsi="Arial" w:cs="Arial"/>
          <w:sz w:val="20"/>
        </w:rPr>
        <w:t>. Arch Virol</w:t>
      </w:r>
      <w:r>
        <w:rPr>
          <w:rFonts w:ascii="Arial" w:hAnsi="Arial" w:cs="Arial"/>
          <w:sz w:val="20"/>
        </w:rPr>
        <w:t xml:space="preserve"> </w:t>
      </w:r>
      <w:r w:rsidR="004A35D7" w:rsidRPr="00273B46">
        <w:rPr>
          <w:rFonts w:ascii="Arial" w:hAnsi="Arial" w:cs="Arial"/>
          <w:sz w:val="20"/>
        </w:rPr>
        <w:t>162:3893-3897</w:t>
      </w:r>
      <w:r w:rsidR="005E493D" w:rsidRPr="00273B46">
        <w:rPr>
          <w:rFonts w:ascii="Arial" w:hAnsi="Arial" w:cs="Arial"/>
          <w:sz w:val="20"/>
        </w:rPr>
        <w:t>.</w:t>
      </w:r>
      <w:r w:rsidR="005E493D" w:rsidRPr="00FA77BC">
        <w:rPr>
          <w:rFonts w:ascii="Arial" w:hAnsi="Arial" w:cs="Arial"/>
          <w:sz w:val="20"/>
          <w:szCs w:val="20"/>
        </w:rPr>
        <w:t xml:space="preserve"> </w:t>
      </w:r>
      <w:r w:rsidRPr="00FA77BC">
        <w:rPr>
          <w:rFonts w:ascii="Arial" w:hAnsi="Arial" w:cs="Arial"/>
          <w:sz w:val="20"/>
          <w:szCs w:val="20"/>
        </w:rPr>
        <w:t xml:space="preserve">PMID: 28905257 </w:t>
      </w:r>
      <w:r w:rsidR="005E493D" w:rsidRPr="00FA77BC">
        <w:rPr>
          <w:rFonts w:ascii="Arial" w:hAnsi="Arial" w:cs="Arial"/>
          <w:sz w:val="20"/>
          <w:szCs w:val="20"/>
        </w:rPr>
        <w:t>DOI:</w:t>
      </w:r>
      <w:r w:rsidR="005E493D" w:rsidRPr="00FA77BC">
        <w:rPr>
          <w:rFonts w:ascii="Arial" w:eastAsiaTheme="minorHAnsi" w:hAnsi="Arial" w:cs="Arial"/>
          <w:sz w:val="20"/>
          <w:szCs w:val="20"/>
        </w:rPr>
        <w:t>10.1007/s00705-017-3512-0</w:t>
      </w:r>
    </w:p>
    <w:sectPr w:rsidR="008A369B" w:rsidRPr="00FA77BC" w:rsidSect="00584D75">
      <w:head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35658D" w14:textId="77777777" w:rsidR="00C60056" w:rsidRDefault="00C60056" w:rsidP="004609D1">
      <w:r>
        <w:separator/>
      </w:r>
    </w:p>
  </w:endnote>
  <w:endnote w:type="continuationSeparator" w:id="0">
    <w:p w14:paraId="6924AC79" w14:textId="77777777" w:rsidR="00C60056" w:rsidRDefault="00C60056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76D82F" w14:textId="77777777" w:rsidR="00C60056" w:rsidRDefault="00C60056" w:rsidP="004609D1">
      <w:r>
        <w:separator/>
      </w:r>
    </w:p>
  </w:footnote>
  <w:footnote w:type="continuationSeparator" w:id="0">
    <w:p w14:paraId="319D7E0D" w14:textId="77777777" w:rsidR="00C60056" w:rsidRDefault="00C60056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B35"/>
    <w:rsid w:val="0000363F"/>
    <w:rsid w:val="000050CD"/>
    <w:rsid w:val="00035181"/>
    <w:rsid w:val="00041A6A"/>
    <w:rsid w:val="0006407D"/>
    <w:rsid w:val="00074276"/>
    <w:rsid w:val="000834F4"/>
    <w:rsid w:val="000858B6"/>
    <w:rsid w:val="000945FD"/>
    <w:rsid w:val="000A22DE"/>
    <w:rsid w:val="000A7D02"/>
    <w:rsid w:val="000B2475"/>
    <w:rsid w:val="000B5CE2"/>
    <w:rsid w:val="000C7139"/>
    <w:rsid w:val="000D3CCD"/>
    <w:rsid w:val="000D56DC"/>
    <w:rsid w:val="000E69E9"/>
    <w:rsid w:val="000F27A6"/>
    <w:rsid w:val="00121243"/>
    <w:rsid w:val="00122AF9"/>
    <w:rsid w:val="00123B8F"/>
    <w:rsid w:val="00132568"/>
    <w:rsid w:val="0017440B"/>
    <w:rsid w:val="001A2500"/>
    <w:rsid w:val="001B1DAA"/>
    <w:rsid w:val="001C1BF5"/>
    <w:rsid w:val="001D3F64"/>
    <w:rsid w:val="001D4AAF"/>
    <w:rsid w:val="001E36C8"/>
    <w:rsid w:val="001E6D21"/>
    <w:rsid w:val="00215F51"/>
    <w:rsid w:val="002279C2"/>
    <w:rsid w:val="00234794"/>
    <w:rsid w:val="00237296"/>
    <w:rsid w:val="00262EDD"/>
    <w:rsid w:val="00273B46"/>
    <w:rsid w:val="00286FE5"/>
    <w:rsid w:val="00296A03"/>
    <w:rsid w:val="002A43A2"/>
    <w:rsid w:val="002B0EBC"/>
    <w:rsid w:val="002B0F54"/>
    <w:rsid w:val="002C03EF"/>
    <w:rsid w:val="002D042F"/>
    <w:rsid w:val="002D55C6"/>
    <w:rsid w:val="002E2A46"/>
    <w:rsid w:val="002F2194"/>
    <w:rsid w:val="002F2C2F"/>
    <w:rsid w:val="002F51EA"/>
    <w:rsid w:val="002F53BA"/>
    <w:rsid w:val="002F6249"/>
    <w:rsid w:val="003030E4"/>
    <w:rsid w:val="003263A5"/>
    <w:rsid w:val="00327677"/>
    <w:rsid w:val="00350BFB"/>
    <w:rsid w:val="00351D0D"/>
    <w:rsid w:val="0035571D"/>
    <w:rsid w:val="00360C13"/>
    <w:rsid w:val="00365B9B"/>
    <w:rsid w:val="00367AAF"/>
    <w:rsid w:val="00380B0D"/>
    <w:rsid w:val="003C01E0"/>
    <w:rsid w:val="003C1B17"/>
    <w:rsid w:val="003F3772"/>
    <w:rsid w:val="003F4FFD"/>
    <w:rsid w:val="003F69DF"/>
    <w:rsid w:val="00404760"/>
    <w:rsid w:val="0041197F"/>
    <w:rsid w:val="00412944"/>
    <w:rsid w:val="0042253D"/>
    <w:rsid w:val="004304FF"/>
    <w:rsid w:val="004471E9"/>
    <w:rsid w:val="004609D1"/>
    <w:rsid w:val="0046317C"/>
    <w:rsid w:val="00487393"/>
    <w:rsid w:val="004A30CB"/>
    <w:rsid w:val="004A35D7"/>
    <w:rsid w:val="004A4902"/>
    <w:rsid w:val="004D29FB"/>
    <w:rsid w:val="004D711E"/>
    <w:rsid w:val="004D7884"/>
    <w:rsid w:val="004E4914"/>
    <w:rsid w:val="004F5E21"/>
    <w:rsid w:val="00503015"/>
    <w:rsid w:val="00553791"/>
    <w:rsid w:val="00554817"/>
    <w:rsid w:val="00556D4B"/>
    <w:rsid w:val="00583286"/>
    <w:rsid w:val="00584D75"/>
    <w:rsid w:val="005A465C"/>
    <w:rsid w:val="005A697E"/>
    <w:rsid w:val="005A7EE3"/>
    <w:rsid w:val="005C1A55"/>
    <w:rsid w:val="005D5C6E"/>
    <w:rsid w:val="005E493D"/>
    <w:rsid w:val="00604988"/>
    <w:rsid w:val="00610D3A"/>
    <w:rsid w:val="00610F11"/>
    <w:rsid w:val="006164B4"/>
    <w:rsid w:val="0063589C"/>
    <w:rsid w:val="0064037B"/>
    <w:rsid w:val="006550ED"/>
    <w:rsid w:val="00667B4C"/>
    <w:rsid w:val="00670B2E"/>
    <w:rsid w:val="0067274B"/>
    <w:rsid w:val="00696D9C"/>
    <w:rsid w:val="006B228F"/>
    <w:rsid w:val="006B664E"/>
    <w:rsid w:val="006B6877"/>
    <w:rsid w:val="006B7504"/>
    <w:rsid w:val="006C4C64"/>
    <w:rsid w:val="006C6960"/>
    <w:rsid w:val="006D2B31"/>
    <w:rsid w:val="006F500E"/>
    <w:rsid w:val="00733714"/>
    <w:rsid w:val="00743C98"/>
    <w:rsid w:val="00750B77"/>
    <w:rsid w:val="007547EA"/>
    <w:rsid w:val="007611D2"/>
    <w:rsid w:val="00765614"/>
    <w:rsid w:val="00772C91"/>
    <w:rsid w:val="007843C5"/>
    <w:rsid w:val="00786E0E"/>
    <w:rsid w:val="00793391"/>
    <w:rsid w:val="007A6620"/>
    <w:rsid w:val="007A7DFF"/>
    <w:rsid w:val="007B1846"/>
    <w:rsid w:val="007B24DA"/>
    <w:rsid w:val="007B34A8"/>
    <w:rsid w:val="007E56F2"/>
    <w:rsid w:val="007F292B"/>
    <w:rsid w:val="0081653F"/>
    <w:rsid w:val="0082104E"/>
    <w:rsid w:val="00824222"/>
    <w:rsid w:val="00853539"/>
    <w:rsid w:val="00857A32"/>
    <w:rsid w:val="008719E3"/>
    <w:rsid w:val="008831E4"/>
    <w:rsid w:val="00883B83"/>
    <w:rsid w:val="00887D4D"/>
    <w:rsid w:val="00891DEA"/>
    <w:rsid w:val="008A1420"/>
    <w:rsid w:val="008A369B"/>
    <w:rsid w:val="008B02BA"/>
    <w:rsid w:val="008B657D"/>
    <w:rsid w:val="008D4F59"/>
    <w:rsid w:val="009018F4"/>
    <w:rsid w:val="00906B50"/>
    <w:rsid w:val="00913922"/>
    <w:rsid w:val="0092721D"/>
    <w:rsid w:val="009505C5"/>
    <w:rsid w:val="009513B3"/>
    <w:rsid w:val="00957E83"/>
    <w:rsid w:val="009664FD"/>
    <w:rsid w:val="009A63E5"/>
    <w:rsid w:val="009B5377"/>
    <w:rsid w:val="009C29D0"/>
    <w:rsid w:val="009E143A"/>
    <w:rsid w:val="009E1DEF"/>
    <w:rsid w:val="009E2AAE"/>
    <w:rsid w:val="009F1E18"/>
    <w:rsid w:val="009F36B3"/>
    <w:rsid w:val="00A03C8D"/>
    <w:rsid w:val="00A04A34"/>
    <w:rsid w:val="00A31C20"/>
    <w:rsid w:val="00A47567"/>
    <w:rsid w:val="00A55CD4"/>
    <w:rsid w:val="00A63F89"/>
    <w:rsid w:val="00A663BA"/>
    <w:rsid w:val="00A83FB2"/>
    <w:rsid w:val="00A93526"/>
    <w:rsid w:val="00AA3BF0"/>
    <w:rsid w:val="00AB6775"/>
    <w:rsid w:val="00AC0815"/>
    <w:rsid w:val="00AC605A"/>
    <w:rsid w:val="00AC620D"/>
    <w:rsid w:val="00AD040D"/>
    <w:rsid w:val="00AD7922"/>
    <w:rsid w:val="00AE4DFC"/>
    <w:rsid w:val="00AE6609"/>
    <w:rsid w:val="00AE6FB4"/>
    <w:rsid w:val="00B11029"/>
    <w:rsid w:val="00B13B77"/>
    <w:rsid w:val="00B2214B"/>
    <w:rsid w:val="00B36C9C"/>
    <w:rsid w:val="00B52DF3"/>
    <w:rsid w:val="00B62F80"/>
    <w:rsid w:val="00B634B7"/>
    <w:rsid w:val="00B97EDC"/>
    <w:rsid w:val="00BA7C8B"/>
    <w:rsid w:val="00BB3850"/>
    <w:rsid w:val="00BD68D8"/>
    <w:rsid w:val="00C134C5"/>
    <w:rsid w:val="00C14FBF"/>
    <w:rsid w:val="00C17842"/>
    <w:rsid w:val="00C35DAD"/>
    <w:rsid w:val="00C40BA4"/>
    <w:rsid w:val="00C60056"/>
    <w:rsid w:val="00C61519"/>
    <w:rsid w:val="00C63232"/>
    <w:rsid w:val="00C63790"/>
    <w:rsid w:val="00C70C24"/>
    <w:rsid w:val="00C72BBB"/>
    <w:rsid w:val="00C8180D"/>
    <w:rsid w:val="00C85371"/>
    <w:rsid w:val="00CA00A3"/>
    <w:rsid w:val="00CA467A"/>
    <w:rsid w:val="00CB2F6E"/>
    <w:rsid w:val="00CB5EA8"/>
    <w:rsid w:val="00CD030E"/>
    <w:rsid w:val="00CD5D5D"/>
    <w:rsid w:val="00D31F56"/>
    <w:rsid w:val="00D406A2"/>
    <w:rsid w:val="00D40FB4"/>
    <w:rsid w:val="00D5298F"/>
    <w:rsid w:val="00D572F3"/>
    <w:rsid w:val="00D93D3B"/>
    <w:rsid w:val="00DB5FFF"/>
    <w:rsid w:val="00DB6B04"/>
    <w:rsid w:val="00DF35BB"/>
    <w:rsid w:val="00DF4107"/>
    <w:rsid w:val="00DF7F00"/>
    <w:rsid w:val="00E01C77"/>
    <w:rsid w:val="00E278EB"/>
    <w:rsid w:val="00E41134"/>
    <w:rsid w:val="00E45F96"/>
    <w:rsid w:val="00E46C93"/>
    <w:rsid w:val="00E512CE"/>
    <w:rsid w:val="00E7105A"/>
    <w:rsid w:val="00E71BCC"/>
    <w:rsid w:val="00E75DB4"/>
    <w:rsid w:val="00E803C0"/>
    <w:rsid w:val="00E84439"/>
    <w:rsid w:val="00E84FCC"/>
    <w:rsid w:val="00EA1882"/>
    <w:rsid w:val="00EA3C42"/>
    <w:rsid w:val="00EA68E3"/>
    <w:rsid w:val="00EA6E15"/>
    <w:rsid w:val="00EA7785"/>
    <w:rsid w:val="00F01538"/>
    <w:rsid w:val="00F05B35"/>
    <w:rsid w:val="00F12E84"/>
    <w:rsid w:val="00F1492B"/>
    <w:rsid w:val="00F33B2C"/>
    <w:rsid w:val="00F37F40"/>
    <w:rsid w:val="00F50DBA"/>
    <w:rsid w:val="00F552E6"/>
    <w:rsid w:val="00F67DA1"/>
    <w:rsid w:val="00F81240"/>
    <w:rsid w:val="00F912A8"/>
    <w:rsid w:val="00FA3EBF"/>
    <w:rsid w:val="00FA77BC"/>
    <w:rsid w:val="00FB3A0F"/>
    <w:rsid w:val="00FC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10</cp:revision>
  <dcterms:created xsi:type="dcterms:W3CDTF">2020-08-16T23:15:00Z</dcterms:created>
  <dcterms:modified xsi:type="dcterms:W3CDTF">2021-03-03T05:54:00Z</dcterms:modified>
</cp:coreProperties>
</file>