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2254" w14:textId="7DE7A5EF" w:rsidR="00AA601F" w:rsidRDefault="007F03D8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707163" wp14:editId="74BAA1D4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659EA81C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12A431D6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4018954A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0A241AB8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2621A85D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7444AF01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09FAB48D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7D3C8718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ED2A02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60C" w14:textId="556291BF" w:rsidR="006D1B4E" w:rsidRPr="009320C8" w:rsidRDefault="005145CE" w:rsidP="005145C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145CE">
              <w:rPr>
                <w:rFonts w:ascii="Arial" w:hAnsi="Arial" w:cs="Arial"/>
                <w:b/>
                <w:i/>
                <w:sz w:val="36"/>
                <w:szCs w:val="36"/>
              </w:rPr>
              <w:t>2018.012P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9625FF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746F720F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6178D4C" w14:textId="77777777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proofErr w:type="spellStart"/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proofErr w:type="spellEnd"/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20944D8A" w14:textId="16796312" w:rsidR="00CF0A9B" w:rsidRPr="009320C8" w:rsidRDefault="00A66387" w:rsidP="00D010BD">
            <w:pPr>
              <w:spacing w:before="120"/>
              <w:rPr>
                <w:rFonts w:ascii="Arial" w:hAnsi="Arial" w:cs="Arial"/>
                <w:b/>
              </w:rPr>
            </w:pPr>
            <w:r w:rsidRPr="00A66387">
              <w:rPr>
                <w:rFonts w:ascii="Arial" w:hAnsi="Arial" w:cs="Arial"/>
                <w:b/>
                <w:i/>
              </w:rPr>
              <w:t>Grapevine virus H</w:t>
            </w:r>
            <w:r>
              <w:rPr>
                <w:rFonts w:ascii="Arial" w:hAnsi="Arial" w:cs="Arial"/>
                <w:b/>
              </w:rPr>
              <w:t>, a</w:t>
            </w:r>
            <w:r w:rsidR="009A0A30">
              <w:rPr>
                <w:rFonts w:ascii="Arial" w:hAnsi="Arial" w:cs="Arial"/>
                <w:b/>
              </w:rPr>
              <w:t xml:space="preserve"> new species in the genus </w:t>
            </w:r>
            <w:proofErr w:type="spellStart"/>
            <w:r w:rsidR="00D010BD">
              <w:rPr>
                <w:rFonts w:ascii="Arial" w:hAnsi="Arial" w:cs="Arial"/>
                <w:b/>
                <w:i/>
              </w:rPr>
              <w:t>Viti</w:t>
            </w:r>
            <w:r w:rsidR="009A0A30" w:rsidRPr="009A0A30">
              <w:rPr>
                <w:rFonts w:ascii="Arial" w:hAnsi="Arial" w:cs="Arial"/>
                <w:b/>
                <w:i/>
              </w:rPr>
              <w:t>virus</w:t>
            </w:r>
            <w:proofErr w:type="spellEnd"/>
          </w:p>
        </w:tc>
      </w:tr>
      <w:tr w:rsidR="00CF0A9B" w:rsidRPr="001E492D" w14:paraId="71A35535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79BDD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4722A864" w14:textId="77777777">
        <w:tc>
          <w:tcPr>
            <w:tcW w:w="9468" w:type="dxa"/>
            <w:gridSpan w:val="4"/>
          </w:tcPr>
          <w:p w14:paraId="2208D010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2686979D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F1C" w14:textId="4EBDA313" w:rsidR="00AA0148" w:rsidRDefault="00AA0148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Thierry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 w:rsidR="0066310D">
              <w:rPr>
                <w:rFonts w:ascii="Arial" w:hAnsi="Arial" w:cs="Arial"/>
                <w:color w:val="000000"/>
              </w:rPr>
              <w:t>andresse</w:t>
            </w:r>
            <w:proofErr w:type="spellEnd"/>
          </w:p>
          <w:p w14:paraId="5BF02349" w14:textId="4CD935A2" w:rsidR="009A0A30" w:rsidRPr="009320C8" w:rsidRDefault="009A0A30" w:rsidP="00AA0148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Armelle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</w:t>
            </w:r>
            <w:r w:rsidR="0066310D">
              <w:rPr>
                <w:rFonts w:ascii="Arial" w:hAnsi="Arial" w:cs="Arial"/>
                <w:color w:val="000000"/>
              </w:rPr>
              <w:t>arais</w:t>
            </w:r>
          </w:p>
        </w:tc>
      </w:tr>
      <w:tr w:rsidR="00CE5ECF" w:rsidRPr="009320C8" w14:paraId="2245E3A3" w14:textId="77777777" w:rsidTr="003B1954">
        <w:tc>
          <w:tcPr>
            <w:tcW w:w="9468" w:type="dxa"/>
            <w:gridSpan w:val="4"/>
          </w:tcPr>
          <w:p w14:paraId="147331B0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4571CE" w14:paraId="5C49CB66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E9E" w14:textId="754951A3" w:rsidR="00CE5ECF" w:rsidRPr="009A0A30" w:rsidRDefault="00AA0148" w:rsidP="0066310D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Thierry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 w:rsidR="0066310D">
              <w:rPr>
                <w:rFonts w:ascii="Arial" w:hAnsi="Arial" w:cs="Arial"/>
                <w:color w:val="000000"/>
              </w:rPr>
              <w:t>andresse</w:t>
            </w:r>
            <w:proofErr w:type="spellEnd"/>
            <w:r w:rsidR="0066310D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fr-FR"/>
              </w:rPr>
              <w:t>thierry.candresse</w:t>
            </w:r>
            <w:r w:rsidR="009A0A30" w:rsidRPr="009A0A30">
              <w:rPr>
                <w:rFonts w:ascii="Arial" w:hAnsi="Arial" w:cs="Arial"/>
                <w:color w:val="000000"/>
                <w:lang w:val="fr-FR"/>
              </w:rPr>
              <w:t>@inra.fr</w:t>
            </w:r>
            <w:r w:rsidR="0066310D">
              <w:rPr>
                <w:rFonts w:ascii="Arial" w:hAnsi="Arial" w:cs="Arial"/>
                <w:color w:val="000000"/>
                <w:lang w:val="fr-FR"/>
              </w:rPr>
              <w:t>)</w:t>
            </w:r>
          </w:p>
        </w:tc>
      </w:tr>
      <w:tr w:rsidR="00D1634C" w:rsidRPr="009320C8" w14:paraId="07EF581C" w14:textId="77777777">
        <w:tc>
          <w:tcPr>
            <w:tcW w:w="9468" w:type="dxa"/>
            <w:gridSpan w:val="4"/>
          </w:tcPr>
          <w:p w14:paraId="160CE664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66310D" w:rsidRPr="009320C8" w14:paraId="7B7530DF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C1E" w14:textId="77777777" w:rsidR="0066310D" w:rsidRPr="009320C8" w:rsidRDefault="0066310D" w:rsidP="0066310D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appropriate subcommittee chair (there are six virus subcommittees: animal DNA and retroviruses, animal </w:t>
            </w:r>
            <w:proofErr w:type="spellStart"/>
            <w:r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Pr="009320C8">
              <w:rPr>
                <w:rFonts w:ascii="Arial" w:hAnsi="Arial" w:cs="Arial"/>
                <w:color w:val="0000FF"/>
                <w:sz w:val="20"/>
              </w:rPr>
              <w:t xml:space="preserve">-, animal </w:t>
            </w:r>
            <w:proofErr w:type="spellStart"/>
            <w:r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Pr="009320C8">
              <w:rPr>
                <w:rFonts w:ascii="Arial" w:hAnsi="Arial" w:cs="Arial"/>
                <w:color w:val="0000FF"/>
                <w:sz w:val="20"/>
              </w:rPr>
              <w:t xml:space="preserve">+, fungal and </w:t>
            </w:r>
            <w:proofErr w:type="spellStart"/>
            <w:r w:rsidRPr="009320C8">
              <w:rPr>
                <w:rFonts w:ascii="Arial" w:hAnsi="Arial" w:cs="Arial"/>
                <w:color w:val="0000FF"/>
                <w:sz w:val="20"/>
              </w:rPr>
              <w:t>protist</w:t>
            </w:r>
            <w:proofErr w:type="spellEnd"/>
            <w:r w:rsidRPr="009320C8">
              <w:rPr>
                <w:rFonts w:ascii="Arial" w:hAnsi="Arial" w:cs="Arial"/>
                <w:color w:val="0000FF"/>
                <w:sz w:val="20"/>
              </w:rPr>
              <w:t>, plant, bacterial and archaeal)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F065" w14:textId="49F8C0DE" w:rsidR="0066310D" w:rsidRPr="009A0A30" w:rsidRDefault="0066310D" w:rsidP="0066310D">
            <w:pPr>
              <w:rPr>
                <w:rFonts w:ascii="Arial" w:hAnsi="Arial" w:cs="Arial"/>
                <w:b/>
              </w:rPr>
            </w:pPr>
            <w:r w:rsidRPr="001B041C">
              <w:rPr>
                <w:rFonts w:ascii="Arial" w:hAnsi="Arial" w:cs="Arial"/>
                <w:i/>
              </w:rPr>
              <w:t>Beta</w:t>
            </w:r>
            <w:r w:rsidRPr="001B041C">
              <w:rPr>
                <w:rFonts w:ascii="Arial" w:hAnsi="Arial" w:cs="Arial"/>
              </w:rPr>
              <w:t xml:space="preserve">-, </w:t>
            </w:r>
            <w:r w:rsidRPr="001B041C">
              <w:rPr>
                <w:rFonts w:ascii="Arial" w:hAnsi="Arial" w:cs="Arial"/>
                <w:i/>
              </w:rPr>
              <w:t>Gamma</w:t>
            </w:r>
            <w:r w:rsidRPr="001B041C">
              <w:rPr>
                <w:rFonts w:ascii="Arial" w:hAnsi="Arial" w:cs="Arial"/>
              </w:rPr>
              <w:t xml:space="preserve">-, and </w:t>
            </w:r>
            <w:proofErr w:type="spellStart"/>
            <w:r w:rsidRPr="001B041C">
              <w:rPr>
                <w:rFonts w:ascii="Arial" w:hAnsi="Arial" w:cs="Arial"/>
                <w:i/>
              </w:rPr>
              <w:t>Deltaflexiviridae</w:t>
            </w:r>
            <w:proofErr w:type="spellEnd"/>
            <w:r w:rsidRPr="001B041C">
              <w:rPr>
                <w:rFonts w:ascii="Arial" w:hAnsi="Arial" w:cs="Arial"/>
              </w:rPr>
              <w:t xml:space="preserve"> Study Group (Chair: </w:t>
            </w:r>
            <w:proofErr w:type="spellStart"/>
            <w:r w:rsidRPr="001B041C">
              <w:rPr>
                <w:rFonts w:ascii="Arial" w:hAnsi="Arial" w:cs="Arial"/>
              </w:rPr>
              <w:t>Ioannis</w:t>
            </w:r>
            <w:proofErr w:type="spellEnd"/>
            <w:r w:rsidRPr="001B041C">
              <w:rPr>
                <w:rFonts w:ascii="Arial" w:hAnsi="Arial" w:cs="Arial"/>
              </w:rPr>
              <w:t xml:space="preserve"> </w:t>
            </w:r>
            <w:proofErr w:type="spellStart"/>
            <w:r w:rsidRPr="001B041C">
              <w:rPr>
                <w:rFonts w:ascii="Arial" w:hAnsi="Arial" w:cs="Arial"/>
              </w:rPr>
              <w:t>Tzanetakis</w:t>
            </w:r>
            <w:proofErr w:type="spellEnd"/>
            <w:r w:rsidRPr="001B041C">
              <w:rPr>
                <w:rFonts w:ascii="Arial" w:hAnsi="Arial" w:cs="Arial"/>
              </w:rPr>
              <w:t>)</w:t>
            </w:r>
          </w:p>
        </w:tc>
      </w:tr>
      <w:tr w:rsidR="0066310D" w:rsidRPr="009320C8" w14:paraId="2420E951" w14:textId="77777777">
        <w:trPr>
          <w:tblHeader/>
        </w:trPr>
        <w:tc>
          <w:tcPr>
            <w:tcW w:w="9468" w:type="dxa"/>
            <w:gridSpan w:val="4"/>
          </w:tcPr>
          <w:p w14:paraId="59E0E793" w14:textId="77777777" w:rsidR="0066310D" w:rsidRPr="009320C8" w:rsidRDefault="0066310D" w:rsidP="0066310D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 Study Group comments (if any) and response of the proposer:</w:t>
            </w:r>
          </w:p>
        </w:tc>
      </w:tr>
      <w:tr w:rsidR="0066310D" w:rsidRPr="009320C8" w14:paraId="25592D22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A38605" w14:textId="77777777" w:rsidR="0066310D" w:rsidRPr="009320C8" w:rsidRDefault="0066310D" w:rsidP="0066310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6310D" w:rsidRPr="009320C8" w14:paraId="53CE6A7C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6925377B" w14:textId="77777777" w:rsidR="0066310D" w:rsidRPr="009320C8" w:rsidRDefault="0066310D" w:rsidP="0066310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66310D" w:rsidRPr="009320C8" w14:paraId="406A26A8" w14:textId="77777777" w:rsidTr="00C15EC4">
        <w:trPr>
          <w:trHeight w:val="270"/>
        </w:trPr>
        <w:tc>
          <w:tcPr>
            <w:tcW w:w="5786" w:type="dxa"/>
            <w:gridSpan w:val="3"/>
          </w:tcPr>
          <w:p w14:paraId="30D7FA1A" w14:textId="77777777" w:rsidR="0066310D" w:rsidRPr="009320C8" w:rsidRDefault="0066310D" w:rsidP="0066310D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68A2963A" w14:textId="6BBF4C81" w:rsidR="0066310D" w:rsidRPr="009320C8" w:rsidRDefault="004D2E65" w:rsidP="0066310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2018</w:t>
            </w:r>
            <w:bookmarkStart w:id="0" w:name="_GoBack"/>
            <w:bookmarkEnd w:id="0"/>
          </w:p>
        </w:tc>
      </w:tr>
      <w:tr w:rsidR="0066310D" w:rsidRPr="009320C8" w14:paraId="5098D0A6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359D0F9" w14:textId="77777777" w:rsidR="0066310D" w:rsidRPr="009320C8" w:rsidRDefault="0066310D" w:rsidP="0066310D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67B2C768" w14:textId="77777777" w:rsidR="0066310D" w:rsidRPr="009320C8" w:rsidRDefault="0066310D" w:rsidP="0066310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189516A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49A63452" w14:textId="77777777" w:rsidTr="003B1954">
        <w:tc>
          <w:tcPr>
            <w:tcW w:w="9468" w:type="dxa"/>
          </w:tcPr>
          <w:p w14:paraId="5C051291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005054B4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9FF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24CE1F2F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128F24D9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1885415F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159C65DE" w14:textId="77777777">
        <w:trPr>
          <w:tblHeader/>
        </w:trPr>
        <w:tc>
          <w:tcPr>
            <w:tcW w:w="9468" w:type="dxa"/>
          </w:tcPr>
          <w:p w14:paraId="4B299741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05BE5BA1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2DC0B" w14:textId="77777777" w:rsidR="00024051" w:rsidRDefault="00024051" w:rsidP="00755A4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  <w:p w14:paraId="7EFB321C" w14:textId="0A3B6A8A" w:rsidR="0066310D" w:rsidRPr="00C61931" w:rsidRDefault="0066310D" w:rsidP="00755A4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14:paraId="72CDE1EA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5F60B136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5650342F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4EC3F95" w14:textId="0CE33E86" w:rsidR="009F32F7" w:rsidRPr="009320C8" w:rsidRDefault="009F32F7" w:rsidP="00AA014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676B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45CE" w:rsidRPr="005145CE">
              <w:rPr>
                <w:rFonts w:ascii="Arial" w:hAnsi="Arial" w:cs="Arial"/>
                <w:b/>
                <w:sz w:val="22"/>
                <w:szCs w:val="22"/>
              </w:rPr>
              <w:t>2018.012P.N.v1.Vitivirus_spc</w:t>
            </w:r>
          </w:p>
        </w:tc>
      </w:tr>
    </w:tbl>
    <w:p w14:paraId="5DEECEFB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2D876035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54D15898" w14:textId="77777777" w:rsidTr="00AA601F">
        <w:trPr>
          <w:trHeight w:val="266"/>
          <w:tblHeader/>
        </w:trPr>
        <w:tc>
          <w:tcPr>
            <w:tcW w:w="9228" w:type="dxa"/>
          </w:tcPr>
          <w:p w14:paraId="3D828FBF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46E156E4" w14:textId="77777777" w:rsidTr="001E59C1">
        <w:trPr>
          <w:trHeight w:val="1566"/>
        </w:trPr>
        <w:tc>
          <w:tcPr>
            <w:tcW w:w="9228" w:type="dxa"/>
          </w:tcPr>
          <w:p w14:paraId="7E40A09F" w14:textId="77777777" w:rsidR="00F657DF" w:rsidRDefault="00724490" w:rsidP="00495109">
            <w:pPr>
              <w:ind w:left="284"/>
              <w:jc w:val="both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105EF910" w14:textId="77777777" w:rsidR="00F657DF" w:rsidRDefault="001E7FD5" w:rsidP="00495109">
            <w:pPr>
              <w:pStyle w:val="BodyTextIndent"/>
              <w:numPr>
                <w:ilvl w:val="0"/>
                <w:numId w:val="24"/>
              </w:numPr>
              <w:ind w:left="567" w:hanging="283"/>
              <w:jc w:val="both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268593AF" w14:textId="77777777" w:rsidR="00755A47" w:rsidRDefault="00755A47" w:rsidP="00495109">
            <w:pPr>
              <w:pStyle w:val="BodyTextIndent"/>
              <w:ind w:left="567" w:firstLine="0"/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0F335BF2" w14:textId="77777777" w:rsidR="0066310D" w:rsidRPr="00A77BC1" w:rsidRDefault="0066310D" w:rsidP="00495109">
            <w:pPr>
              <w:pStyle w:val="BodyTextIndent"/>
              <w:ind w:left="567" w:firstLine="0"/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5FBEECC9" w14:textId="77777777" w:rsidR="0066310D" w:rsidRPr="00980FAC" w:rsidRDefault="0066310D" w:rsidP="00495109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0FAC">
              <w:rPr>
                <w:rFonts w:ascii="Arial" w:hAnsi="Arial" w:cs="Arial"/>
                <w:sz w:val="22"/>
                <w:szCs w:val="22"/>
                <w:lang w:val="en-GB"/>
              </w:rPr>
              <w:t xml:space="preserve">Illumina sequencing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cDNAs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prepared from total RNAs extracted from phloem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scrappings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double stranded RNAs purified from </w:t>
            </w:r>
            <w:proofErr w:type="spellStart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proofErr w:type="spellEnd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>grapevine</w:t>
            </w:r>
            <w:proofErr w:type="spellEnd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 xml:space="preserve"> (cv.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>unknown</w:t>
            </w:r>
            <w:proofErr w:type="spellEnd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>collected</w:t>
            </w:r>
            <w:proofErr w:type="spellEnd"/>
            <w:r w:rsidRPr="009C5CCE">
              <w:rPr>
                <w:rFonts w:ascii="Arial" w:hAnsi="Arial" w:cs="Arial"/>
                <w:sz w:val="22"/>
                <w:szCs w:val="22"/>
                <w:lang w:val="fr-FR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Portugal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Candresse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et al., 2018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 was performed. The authors have determined the complete genome sequence of an isolate (</w:t>
            </w:r>
            <w:r w:rsidRPr="009C5CCE">
              <w:rPr>
                <w:rFonts w:ascii="Arial" w:hAnsi="Arial" w:cs="Arial"/>
                <w:bCs/>
                <w:sz w:val="22"/>
                <w:szCs w:val="22"/>
                <w:lang w:val="fr-FR"/>
              </w:rPr>
              <w:t>TT2016-3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of a novel virus named grapevine virus H (GVH) and discussed its phylogenetic relationships with other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Viti</w:t>
            </w:r>
            <w:r w:rsidRPr="00467B06">
              <w:rPr>
                <w:rFonts w:ascii="Arial" w:hAnsi="Arial" w:cs="Arial"/>
                <w:i/>
                <w:sz w:val="22"/>
                <w:szCs w:val="22"/>
                <w:lang w:val="en-GB"/>
              </w:rPr>
              <w:t>virus</w:t>
            </w:r>
            <w:proofErr w:type="spellEnd"/>
            <w:r w:rsidRPr="00467B0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genus members.</w:t>
            </w:r>
            <w:r w:rsidRPr="00467B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4D632E2" w14:textId="4D71D4CA" w:rsidR="0066310D" w:rsidRPr="00495109" w:rsidRDefault="0066310D" w:rsidP="004951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The genome organization (</w:t>
            </w:r>
            <w:r w:rsidRPr="00495109">
              <w:rPr>
                <w:rFonts w:ascii="Arial" w:hAnsi="Arial" w:cs="Arial"/>
                <w:b/>
                <w:sz w:val="22"/>
                <w:szCs w:val="22"/>
                <w:lang w:val="en-GB"/>
              </w:rPr>
              <w:t>Figure 1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) places the GVH </w:t>
            </w:r>
            <w:r w:rsidRPr="00495109">
              <w:rPr>
                <w:rFonts w:ascii="Arial" w:hAnsi="Arial" w:cs="Arial"/>
                <w:bCs/>
                <w:sz w:val="22"/>
                <w:szCs w:val="22"/>
                <w:lang w:val="fr-FR"/>
              </w:rPr>
              <w:t>TT2016-3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isolate in the </w:t>
            </w:r>
            <w:proofErr w:type="spellStart"/>
            <w:r w:rsidRPr="00495109">
              <w:rPr>
                <w:rFonts w:ascii="Arial" w:hAnsi="Arial" w:cs="Arial"/>
                <w:i/>
                <w:sz w:val="22"/>
                <w:szCs w:val="22"/>
                <w:lang w:val="en-GB"/>
              </w:rPr>
              <w:t>Vitivirus</w:t>
            </w:r>
            <w:proofErr w:type="spellEnd"/>
            <w:r w:rsidRPr="0049510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genus. The genome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harbors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95109" w:rsidRPr="00495109">
              <w:rPr>
                <w:rFonts w:ascii="Arial" w:hAnsi="Arial" w:cs="Arial"/>
                <w:sz w:val="22"/>
                <w:szCs w:val="22"/>
                <w:lang w:val="en-GB"/>
              </w:rPr>
              <w:t>five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open reading frames (ORFs) as is typical for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vitiviruses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and, in particular, </w:t>
            </w:r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ORF2 encodes a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ca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. 20-kDa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product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which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is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characteristic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of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members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of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this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genus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.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95109">
              <w:rPr>
                <w:rFonts w:ascii="Arial" w:hAnsi="Arial" w:cs="Arial"/>
                <w:sz w:val="22"/>
                <w:szCs w:val="22"/>
                <w:lang w:val="en-GB"/>
              </w:rPr>
              <w:t>The p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utative product of ORF1 contains conserved motifs for a viral methyltransferase, a viral helicase and an RNA-dependent RNA polymerase</w:t>
            </w:r>
            <w:r w:rsidR="004951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ORF3 encodes the movement protein (MP)</w:t>
            </w:r>
            <w:r w:rsidR="004951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ORF4 encodes the CP and ORF5 encodes a small protein with homologies to nucleic acid-binding proteins of </w:t>
            </w:r>
            <w:proofErr w:type="spellStart"/>
            <w:r w:rsidRPr="00495109">
              <w:rPr>
                <w:rFonts w:ascii="Arial" w:hAnsi="Arial" w:cs="Arial"/>
                <w:i/>
                <w:sz w:val="22"/>
                <w:szCs w:val="22"/>
                <w:lang w:val="en-GB"/>
              </w:rPr>
              <w:t>Betaflexiviridae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members. </w:t>
            </w:r>
          </w:p>
          <w:p w14:paraId="3A989AFF" w14:textId="77777777" w:rsidR="00495109" w:rsidRDefault="00495109" w:rsidP="0049510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6AC3F7" w14:textId="21EAFB5E" w:rsidR="0066310D" w:rsidRDefault="0066310D" w:rsidP="0049510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Phylogenetic analyses based on the complete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replicase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495109">
              <w:rPr>
                <w:rFonts w:ascii="Arial" w:hAnsi="Arial" w:cs="Arial"/>
                <w:b/>
                <w:sz w:val="22"/>
                <w:szCs w:val="22"/>
                <w:lang w:val="en-GB"/>
              </w:rPr>
              <w:t>Figure 2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) or the coat protein (</w:t>
            </w:r>
            <w:r w:rsidRPr="00495109">
              <w:rPr>
                <w:rFonts w:ascii="Arial" w:hAnsi="Arial" w:cs="Arial"/>
                <w:b/>
                <w:sz w:val="22"/>
                <w:szCs w:val="22"/>
                <w:lang w:val="en-GB"/>
              </w:rPr>
              <w:t>Figure 3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) amino acid sequences support the placement the </w:t>
            </w:r>
            <w:r w:rsidRPr="00495109">
              <w:rPr>
                <w:rFonts w:ascii="Arial" w:hAnsi="Arial" w:cs="Arial"/>
                <w:bCs/>
                <w:sz w:val="22"/>
                <w:szCs w:val="22"/>
                <w:lang w:val="fr-FR"/>
              </w:rPr>
              <w:t>TT2016-3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isolate in the </w:t>
            </w:r>
            <w:proofErr w:type="spellStart"/>
            <w:r w:rsidRPr="00495109">
              <w:rPr>
                <w:rFonts w:ascii="Arial" w:hAnsi="Arial" w:cs="Arial"/>
                <w:i/>
                <w:sz w:val="22"/>
                <w:szCs w:val="22"/>
                <w:lang w:val="en-GB"/>
              </w:rPr>
              <w:t>Vitivirus</w:t>
            </w:r>
            <w:proofErr w:type="spellEnd"/>
            <w:r w:rsidRPr="0049510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genus</w:t>
            </w:r>
            <w:r w:rsidR="004951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B7EFE35" w14:textId="77777777" w:rsidR="00495109" w:rsidRPr="00495109" w:rsidRDefault="00495109" w:rsidP="0049510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705667" w14:textId="6C952A48" w:rsidR="0066310D" w:rsidRDefault="0066310D" w:rsidP="0049510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conclusion, the GVH </w:t>
            </w:r>
            <w:r w:rsidRPr="009C5CCE">
              <w:rPr>
                <w:rFonts w:ascii="Arial" w:hAnsi="Arial" w:cs="Arial"/>
                <w:bCs/>
                <w:sz w:val="22"/>
                <w:szCs w:val="22"/>
                <w:lang w:val="fr-FR"/>
              </w:rPr>
              <w:t>TT2016-3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isolate has a typical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Viti</w:t>
            </w:r>
            <w:r w:rsidRPr="00076580">
              <w:rPr>
                <w:rFonts w:ascii="Arial" w:hAnsi="Arial" w:cs="Arial"/>
                <w:i/>
                <w:sz w:val="22"/>
                <w:szCs w:val="22"/>
                <w:lang w:val="en-GB"/>
              </w:rPr>
              <w:t>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genome organization and clear phylogenetic affinities with members of this genus but its divergence from all other sequenced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Vitivirus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genus members falls clearly outside of the species demarcation criteria. Its molecular properties, phylogeny and genetic distance from other viruses suggest that this virus is a member of a new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Viti</w:t>
            </w:r>
            <w:r w:rsidRPr="00076580">
              <w:rPr>
                <w:rFonts w:ascii="Arial" w:hAnsi="Arial" w:cs="Arial"/>
                <w:i/>
                <w:sz w:val="22"/>
                <w:szCs w:val="22"/>
                <w:lang w:val="en-GB"/>
              </w:rPr>
              <w:t>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species, for which the name </w:t>
            </w:r>
            <w:r w:rsidRPr="00AE62F9">
              <w:rPr>
                <w:rFonts w:ascii="Arial" w:hAnsi="Arial" w:cs="Arial"/>
                <w:i/>
                <w:sz w:val="22"/>
                <w:szCs w:val="22"/>
                <w:lang w:val="en-GB"/>
              </w:rPr>
              <w:t>Grapevine virus 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is proposed.</w:t>
            </w:r>
          </w:p>
          <w:p w14:paraId="21AFA767" w14:textId="77777777" w:rsidR="0066310D" w:rsidRDefault="0066310D" w:rsidP="00495109">
            <w:pPr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7F753E" w14:textId="77777777" w:rsidR="00755A47" w:rsidRDefault="00755A47" w:rsidP="00495109">
            <w:pPr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species demarcation criteria in the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Viti</w:t>
            </w:r>
            <w:r w:rsidRPr="00467B06">
              <w:rPr>
                <w:rFonts w:ascii="Arial" w:hAnsi="Arial" w:cs="Arial"/>
                <w:i/>
                <w:sz w:val="22"/>
                <w:szCs w:val="22"/>
                <w:lang w:val="en-GB"/>
              </w:rPr>
              <w:t>virus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genus are: (Adams </w:t>
            </w:r>
            <w:r w:rsidRPr="00016D06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., 2012)</w:t>
            </w:r>
          </w:p>
          <w:p w14:paraId="4DC1AF1A" w14:textId="6D148E52" w:rsidR="00755A47" w:rsidRPr="00D4277A" w:rsidRDefault="00755A47" w:rsidP="00495109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Natural host range</w:t>
            </w:r>
            <w:r w:rsidR="00495109" w:rsidRPr="00D4277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D4277A">
              <w:rPr>
                <w:rFonts w:ascii="Arial" w:hAnsi="Arial" w:cs="Arial"/>
                <w:sz w:val="22"/>
                <w:szCs w:val="22"/>
                <w:lang w:val="en-GB"/>
              </w:rPr>
              <w:t xml:space="preserve"> Grapevine</w:t>
            </w:r>
          </w:p>
          <w:p w14:paraId="1A6761B9" w14:textId="785A2335" w:rsidR="00755A47" w:rsidRPr="00D4277A" w:rsidRDefault="00755A47" w:rsidP="00495109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277A">
              <w:rPr>
                <w:rFonts w:ascii="Arial" w:hAnsi="Arial" w:cs="Arial"/>
                <w:sz w:val="22"/>
                <w:szCs w:val="22"/>
                <w:lang w:val="en-GB"/>
              </w:rPr>
              <w:t>Serological specificity</w:t>
            </w:r>
            <w:r w:rsidR="00495109" w:rsidRPr="00D4277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D4277A">
              <w:rPr>
                <w:rFonts w:ascii="Arial" w:hAnsi="Arial" w:cs="Arial"/>
                <w:sz w:val="22"/>
                <w:szCs w:val="22"/>
                <w:lang w:val="en-GB"/>
              </w:rPr>
              <w:t xml:space="preserve"> N/A</w:t>
            </w:r>
          </w:p>
          <w:p w14:paraId="0B1CB18E" w14:textId="3330D84B" w:rsidR="00755A47" w:rsidRPr="00D4277A" w:rsidRDefault="00755A47" w:rsidP="00495109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277A">
              <w:rPr>
                <w:rFonts w:ascii="Arial" w:hAnsi="Arial" w:cs="Arial"/>
                <w:sz w:val="22"/>
                <w:szCs w:val="22"/>
                <w:lang w:val="en-GB"/>
              </w:rPr>
              <w:t>Epidemiology: vector species</w:t>
            </w:r>
            <w:r w:rsidR="00495109" w:rsidRPr="00D4277A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D4277A">
              <w:rPr>
                <w:rFonts w:ascii="Arial" w:hAnsi="Arial" w:cs="Arial"/>
                <w:sz w:val="22"/>
                <w:szCs w:val="22"/>
                <w:lang w:val="en-GB"/>
              </w:rPr>
              <w:t xml:space="preserve"> N/A</w:t>
            </w:r>
          </w:p>
          <w:p w14:paraId="66D442AA" w14:textId="6B5A5B36" w:rsidR="00755A47" w:rsidRPr="00D4277A" w:rsidRDefault="00755A47" w:rsidP="00495109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277A">
              <w:rPr>
                <w:rFonts w:ascii="Arial" w:hAnsi="Arial" w:cs="Arial"/>
                <w:sz w:val="22"/>
                <w:szCs w:val="22"/>
                <w:lang w:val="en-GB"/>
              </w:rPr>
              <w:t>Differences in dsRNA patterns</w:t>
            </w:r>
            <w:r w:rsidR="00495109" w:rsidRPr="00D4277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D4277A">
              <w:rPr>
                <w:rFonts w:ascii="Arial" w:hAnsi="Arial" w:cs="Arial"/>
                <w:sz w:val="22"/>
                <w:szCs w:val="22"/>
                <w:lang w:val="en-GB"/>
              </w:rPr>
              <w:t xml:space="preserve"> N/A</w:t>
            </w:r>
          </w:p>
          <w:p w14:paraId="5BD7294F" w14:textId="3183F462" w:rsidR="00755A47" w:rsidRPr="00495109" w:rsidRDefault="00755A47" w:rsidP="00486AE2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782" w:hanging="3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5109">
              <w:rPr>
                <w:rFonts w:ascii="Arial" w:hAnsi="Arial" w:cs="Arial"/>
                <w:sz w:val="22"/>
                <w:szCs w:val="22"/>
                <w:lang w:eastAsia="en-GB"/>
              </w:rPr>
              <w:t>Less than about 72% nucleotide (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eastAsia="en-GB"/>
              </w:rPr>
              <w:t>nt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eastAsia="en-GB"/>
              </w:rPr>
              <w:t>) identity or 80% amino acid (aa) identity between their coat protein (CP) or polymerase genes</w:t>
            </w:r>
            <w:r w:rsidR="00495109" w:rsidRPr="00495109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Comparison of the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replicase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B5EC6"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(REP) 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and CP gene sequences and of the encoded proteins </w:t>
            </w:r>
            <w:r w:rsidR="00AB5EC6"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by GVH </w:t>
            </w:r>
            <w:r w:rsidR="00EB69BF"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(isolate TT2016-3) </w:t>
            </w:r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with other sequenced </w:t>
            </w:r>
            <w:proofErr w:type="spellStart"/>
            <w:r w:rsidRPr="00495109">
              <w:rPr>
                <w:rFonts w:ascii="Arial" w:hAnsi="Arial" w:cs="Arial"/>
                <w:i/>
                <w:sz w:val="22"/>
                <w:szCs w:val="22"/>
                <w:lang w:val="en-GB"/>
              </w:rPr>
              <w:t>Vitivirus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 shows at best </w:t>
            </w:r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54.4% nt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sequence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identity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(50.9%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aa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sequence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identity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) for the REP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gene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and 65.0% nt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identity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(66.5%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aa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identity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) for the CP </w:t>
            </w:r>
            <w:proofErr w:type="spellStart"/>
            <w:r w:rsidRPr="00495109">
              <w:rPr>
                <w:rFonts w:ascii="Arial" w:hAnsi="Arial" w:cs="Arial"/>
                <w:sz w:val="22"/>
                <w:szCs w:val="22"/>
                <w:lang w:val="fr-FR" w:eastAsia="en-GB"/>
              </w:rPr>
              <w:t>gene</w:t>
            </w:r>
            <w:proofErr w:type="spellEnd"/>
            <w:r w:rsidRPr="00495109">
              <w:rPr>
                <w:rFonts w:ascii="Arial" w:hAnsi="Arial" w:cs="Arial"/>
                <w:sz w:val="22"/>
                <w:szCs w:val="22"/>
                <w:lang w:val="en-GB"/>
              </w:rPr>
              <w:t>, respectively. These values are clearly outside the species demarcation criteria.</w:t>
            </w:r>
          </w:p>
          <w:p w14:paraId="68589563" w14:textId="77777777" w:rsidR="00755A47" w:rsidRPr="00755A47" w:rsidRDefault="00755A47" w:rsidP="00495109">
            <w:pPr>
              <w:pStyle w:val="BodyTextIndent"/>
              <w:spacing w:after="120"/>
              <w:ind w:left="284" w:firstLine="0"/>
              <w:jc w:val="both"/>
              <w:rPr>
                <w:rFonts w:ascii="Arial" w:hAnsi="Arial" w:cs="Arial"/>
                <w:color w:val="0000FF"/>
                <w:sz w:val="20"/>
                <w:lang w:val="en-GB"/>
              </w:rPr>
            </w:pPr>
          </w:p>
          <w:p w14:paraId="2967E111" w14:textId="77777777" w:rsidR="006B2EE7" w:rsidRPr="00F657DF" w:rsidRDefault="006A1735" w:rsidP="00495109">
            <w:pPr>
              <w:pStyle w:val="BodyTextIndent"/>
              <w:spacing w:after="120"/>
              <w:ind w:left="567" w:firstLine="0"/>
              <w:jc w:val="both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lastRenderedPageBreak/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11320472" w14:textId="77777777" w:rsidR="001E59C1" w:rsidRPr="00B91D87" w:rsidRDefault="001E59C1" w:rsidP="00495109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83AADE2" w14:textId="34E2E7DC" w:rsidR="006F6941" w:rsidRDefault="00AB5EC6" w:rsidP="00991A82">
      <w:pPr>
        <w:pStyle w:val="BodyTextIndent"/>
        <w:ind w:left="0" w:firstLine="0"/>
        <w:rPr>
          <w:rFonts w:ascii="Arial" w:hAnsi="Arial" w:cs="Arial"/>
          <w:szCs w:val="24"/>
          <w:lang w:val="fr-FR" w:eastAsia="fr-FR"/>
        </w:rPr>
      </w:pPr>
      <w:r w:rsidRPr="00AB5EC6">
        <w:rPr>
          <w:rFonts w:ascii="Arial" w:hAnsi="Arial" w:cs="Arial"/>
          <w:noProof/>
          <w:szCs w:val="24"/>
          <w:lang w:val="en-GB"/>
        </w:rPr>
        <w:lastRenderedPageBreak/>
        <w:drawing>
          <wp:inline distT="0" distB="0" distL="0" distR="0" wp14:anchorId="60906B67" wp14:editId="2FDC5AB8">
            <wp:extent cx="6007735" cy="1196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749E" w14:textId="77777777" w:rsidR="006F6941" w:rsidRDefault="006F6941" w:rsidP="00991A82">
      <w:pPr>
        <w:pStyle w:val="BodyTextIndent"/>
        <w:ind w:left="0" w:firstLine="0"/>
        <w:rPr>
          <w:rFonts w:ascii="Arial" w:hAnsi="Arial" w:cs="Arial"/>
          <w:szCs w:val="24"/>
          <w:lang w:val="fr-FR" w:eastAsia="fr-FR"/>
        </w:rPr>
      </w:pPr>
    </w:p>
    <w:p w14:paraId="6073EC6D" w14:textId="2E43208E" w:rsidR="006F6941" w:rsidRPr="006F6941" w:rsidRDefault="006F6941" w:rsidP="00AE62F9">
      <w:pPr>
        <w:pStyle w:val="BodyTextIndent"/>
        <w:spacing w:after="120"/>
        <w:ind w:left="0" w:firstLine="0"/>
      </w:pPr>
      <w:r w:rsidRPr="006F6941">
        <w:rPr>
          <w:rFonts w:ascii="Arial" w:hAnsi="Arial" w:cs="Arial"/>
          <w:b/>
          <w:sz w:val="22"/>
          <w:szCs w:val="22"/>
          <w:lang w:eastAsia="fr-FR"/>
        </w:rPr>
        <w:t xml:space="preserve">Figure 1.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Genome organization </w:t>
      </w:r>
      <w:r w:rsidRPr="0066310D">
        <w:rPr>
          <w:rFonts w:ascii="Arial" w:hAnsi="Arial" w:cs="Arial"/>
          <w:sz w:val="22"/>
          <w:szCs w:val="22"/>
          <w:lang w:eastAsia="fr-FR"/>
        </w:rPr>
        <w:t xml:space="preserve">of </w:t>
      </w:r>
      <w:r w:rsidR="0080359D" w:rsidRPr="0066310D">
        <w:rPr>
          <w:rFonts w:ascii="Arial" w:hAnsi="Arial" w:cs="Arial"/>
          <w:sz w:val="22"/>
          <w:szCs w:val="22"/>
          <w:lang w:eastAsia="fr-FR"/>
        </w:rPr>
        <w:t xml:space="preserve">the </w:t>
      </w:r>
      <w:r w:rsidR="0080359D" w:rsidRPr="0066310D">
        <w:rPr>
          <w:rFonts w:ascii="Arial" w:eastAsia="Times New Roman" w:hAnsi="Arial" w:cs="Arial"/>
          <w:bCs/>
          <w:sz w:val="22"/>
          <w:szCs w:val="22"/>
          <w:lang w:val="fr-FR"/>
        </w:rPr>
        <w:t>TT2016-3</w:t>
      </w:r>
      <w:r w:rsidR="0080359D" w:rsidRPr="0066310D">
        <w:rPr>
          <w:rFonts w:ascii="Arial" w:hAnsi="Arial" w:cs="Arial"/>
          <w:sz w:val="22"/>
          <w:szCs w:val="22"/>
          <w:lang w:val="en-GB"/>
        </w:rPr>
        <w:t xml:space="preserve"> isolate</w:t>
      </w:r>
      <w:r w:rsidR="00AB5EC6" w:rsidRPr="0066310D">
        <w:rPr>
          <w:rFonts w:ascii="Arial" w:hAnsi="Arial" w:cs="Arial"/>
          <w:sz w:val="22"/>
          <w:szCs w:val="22"/>
          <w:lang w:val="en-GB"/>
        </w:rPr>
        <w:t xml:space="preserve"> of grapevine virus H (GVH). </w:t>
      </w:r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The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various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open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reading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frames are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indicated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by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rectangular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boxes. REP,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replicase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; MP,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movement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protein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; CP,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capsid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protein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; NABP,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nucleic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acid</w:t>
      </w:r>
      <w:proofErr w:type="spellEnd"/>
      <w:r w:rsidR="00BA2D3F" w:rsidRPr="0066310D">
        <w:rPr>
          <w:rFonts w:ascii="Arial" w:hAnsi="Arial" w:cs="Arial"/>
          <w:sz w:val="22"/>
          <w:szCs w:val="22"/>
          <w:lang w:val="fr-FR"/>
        </w:rPr>
        <w:t>-</w:t>
      </w:r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binding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protein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; A(n),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polyA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3’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tail</w:t>
      </w:r>
      <w:proofErr w:type="spellEnd"/>
      <w:r w:rsidRPr="0066310D">
        <w:rPr>
          <w:rFonts w:ascii="Arial" w:hAnsi="Arial" w:cs="Arial"/>
          <w:sz w:val="22"/>
          <w:szCs w:val="22"/>
        </w:rPr>
        <w:t>.</w:t>
      </w:r>
    </w:p>
    <w:p w14:paraId="5A41EBA9" w14:textId="77777777" w:rsidR="00ED3BB4" w:rsidRDefault="00ED3BB4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70C7094C" w14:textId="77777777" w:rsidR="00465B11" w:rsidRDefault="00465B11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1EBC9B41" w14:textId="77777777" w:rsidR="00465B11" w:rsidRDefault="00465B11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449CBCCB" w14:textId="77777777" w:rsidR="00465B11" w:rsidRDefault="00465B11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4C0389B8" w14:textId="77777777" w:rsidR="00465B11" w:rsidRDefault="00465B11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2DFA98F9" w14:textId="77777777" w:rsidR="0080359D" w:rsidRDefault="0080359D" w:rsidP="006F6941">
      <w:pPr>
        <w:autoSpaceDE w:val="0"/>
        <w:autoSpaceDN w:val="0"/>
        <w:adjustRightInd w:val="0"/>
        <w:rPr>
          <w:rFonts w:ascii="URWPalladioL-Roma" w:hAnsi="URWPalladioL-Roma" w:cs="URWPalladioL-Roma"/>
          <w:sz w:val="18"/>
          <w:szCs w:val="18"/>
          <w:lang w:eastAsia="en-GB"/>
        </w:rPr>
      </w:pPr>
    </w:p>
    <w:p w14:paraId="01CB557D" w14:textId="2C5C0CF1" w:rsidR="006F6941" w:rsidRDefault="00AB5EC6" w:rsidP="00991A82">
      <w:pPr>
        <w:pStyle w:val="BodyTextIndent"/>
        <w:ind w:left="0" w:firstLine="0"/>
        <w:rPr>
          <w:rFonts w:ascii="Arial" w:hAnsi="Arial" w:cs="Arial"/>
          <w:szCs w:val="24"/>
          <w:lang w:eastAsia="fr-FR"/>
        </w:rPr>
      </w:pPr>
      <w:r w:rsidRPr="00AB5EC6">
        <w:rPr>
          <w:rFonts w:ascii="Arial" w:hAnsi="Arial" w:cs="Arial"/>
          <w:noProof/>
          <w:szCs w:val="24"/>
          <w:lang w:val="en-GB"/>
        </w:rPr>
        <w:drawing>
          <wp:inline distT="0" distB="0" distL="0" distR="0" wp14:anchorId="3AD62E38" wp14:editId="6613E85A">
            <wp:extent cx="6007735" cy="3181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69D3" w14:textId="77777777" w:rsidR="0066310D" w:rsidRDefault="0066310D" w:rsidP="0080359D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0FC21B3F" w14:textId="6044AFF7" w:rsidR="0080359D" w:rsidRPr="0066310D" w:rsidRDefault="004A7AA4" w:rsidP="0066310D">
      <w:pPr>
        <w:pStyle w:val="BodyTextIndent"/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4A7AA4">
        <w:rPr>
          <w:rFonts w:ascii="Arial" w:hAnsi="Arial" w:cs="Arial"/>
          <w:b/>
          <w:sz w:val="22"/>
          <w:szCs w:val="22"/>
          <w:lang w:eastAsia="fr-FR"/>
        </w:rPr>
        <w:t xml:space="preserve">Figure 2.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Unrooted </w:t>
      </w:r>
      <w:r w:rsidR="0080359D">
        <w:rPr>
          <w:rFonts w:ascii="Arial" w:hAnsi="Arial" w:cs="Arial"/>
          <w:sz w:val="22"/>
          <w:szCs w:val="22"/>
          <w:lang w:eastAsia="fr-FR"/>
        </w:rPr>
        <w:t>n</w:t>
      </w:r>
      <w:proofErr w:type="spellStart"/>
      <w:r w:rsidR="0080359D" w:rsidRPr="0080359D">
        <w:rPr>
          <w:rFonts w:ascii="Arial" w:hAnsi="Arial" w:cs="Arial"/>
          <w:sz w:val="22"/>
          <w:lang w:val="fr-FR"/>
        </w:rPr>
        <w:t>eighbor-joining</w:t>
      </w:r>
      <w:proofErr w:type="spellEnd"/>
      <w:r w:rsidR="0080359D" w:rsidRPr="0080359D">
        <w:rPr>
          <w:rFonts w:ascii="Arial" w:hAnsi="Arial" w:cs="Arial"/>
          <w:sz w:val="22"/>
          <w:lang w:val="fr-FR"/>
        </w:rPr>
        <w:t xml:space="preserve">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phylogenetic tree reconstructed using the complete </w:t>
      </w:r>
      <w:proofErr w:type="spellStart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>amino</w:t>
      </w:r>
      <w:proofErr w:type="spellEnd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>acid</w:t>
      </w:r>
      <w:proofErr w:type="spellEnd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>sequences</w:t>
      </w:r>
      <w:proofErr w:type="spellEnd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 xml:space="preserve"> of the </w:t>
      </w:r>
      <w:proofErr w:type="spellStart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>replicase</w:t>
      </w:r>
      <w:proofErr w:type="spellEnd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 xml:space="preserve"> of</w:t>
      </w:r>
      <w:r w:rsidR="0080359D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80359D" w:rsidRPr="0080359D">
        <w:rPr>
          <w:rFonts w:ascii="Arial" w:hAnsi="Arial" w:cs="Arial"/>
          <w:i/>
          <w:iCs/>
          <w:sz w:val="22"/>
          <w:szCs w:val="22"/>
          <w:lang w:val="fr-FR" w:eastAsia="fr-FR"/>
        </w:rPr>
        <w:t>Vitivirus</w:t>
      </w:r>
      <w:proofErr w:type="spellEnd"/>
      <w:r w:rsidR="0080359D" w:rsidRPr="0080359D">
        <w:rPr>
          <w:rFonts w:ascii="Arial" w:hAnsi="Arial" w:cs="Arial"/>
          <w:i/>
          <w:iCs/>
          <w:sz w:val="22"/>
          <w:szCs w:val="22"/>
          <w:lang w:val="fr-FR" w:eastAsia="fr-FR"/>
        </w:rPr>
        <w:t xml:space="preserve"> </w:t>
      </w:r>
      <w:proofErr w:type="spellStart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>genus</w:t>
      </w:r>
      <w:proofErr w:type="spellEnd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80359D" w:rsidRPr="0080359D">
        <w:rPr>
          <w:rFonts w:ascii="Arial" w:hAnsi="Arial" w:cs="Arial"/>
          <w:sz w:val="22"/>
          <w:szCs w:val="22"/>
          <w:lang w:val="fr-FR" w:eastAsia="fr-FR"/>
        </w:rPr>
        <w:t>members</w:t>
      </w:r>
      <w:proofErr w:type="spellEnd"/>
      <w:r w:rsidRPr="0066310D">
        <w:rPr>
          <w:rFonts w:ascii="Arial" w:hAnsi="Arial" w:cs="Arial"/>
          <w:sz w:val="22"/>
          <w:szCs w:val="22"/>
          <w:lang w:eastAsia="fr-FR"/>
        </w:rPr>
        <w:t>.</w:t>
      </w:r>
      <w:r w:rsidR="0066310D" w:rsidRPr="0066310D">
        <w:rPr>
          <w:rFonts w:ascii="Arial" w:hAnsi="Arial" w:cs="Arial"/>
          <w:sz w:val="22"/>
          <w:szCs w:val="22"/>
          <w:lang w:eastAsia="fr-FR"/>
        </w:rPr>
        <w:t xml:space="preserve"> </w:t>
      </w:r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Strict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amino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acid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sequence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identity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distances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were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used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for construction of the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tree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, and the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statistical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significance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of branches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was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evaluated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by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bootstrap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analysis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(1,000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replicates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).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Only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values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higher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than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70% are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indicated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. The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scale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bar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represents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10%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amino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acid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sequence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divergence. For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some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viruses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only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partial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sequences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are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available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and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were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used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. The </w:t>
      </w:r>
      <w:r w:rsidR="0080359D" w:rsidRPr="0066310D">
        <w:rPr>
          <w:rFonts w:ascii="Arial" w:hAnsi="Arial" w:cs="Arial"/>
          <w:bCs/>
          <w:sz w:val="22"/>
          <w:szCs w:val="22"/>
          <w:lang w:val="fr-FR"/>
        </w:rPr>
        <w:t>TT2016-3</w:t>
      </w:r>
      <w:r w:rsidR="0080359D" w:rsidRPr="0066310D">
        <w:rPr>
          <w:rFonts w:ascii="Arial" w:hAnsi="Arial" w:cs="Arial"/>
          <w:sz w:val="22"/>
          <w:szCs w:val="22"/>
          <w:lang w:val="en-GB"/>
        </w:rPr>
        <w:t xml:space="preserve"> isolate</w:t>
      </w:r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="00AB5EC6" w:rsidRPr="0066310D">
        <w:rPr>
          <w:rFonts w:ascii="Arial" w:hAnsi="Arial" w:cs="Arial"/>
          <w:sz w:val="22"/>
          <w:szCs w:val="22"/>
          <w:lang w:val="fr-FR"/>
        </w:rPr>
        <w:t>g</w:t>
      </w:r>
      <w:r w:rsidR="0080359D" w:rsidRPr="0066310D">
        <w:rPr>
          <w:rFonts w:ascii="Arial" w:hAnsi="Arial" w:cs="Arial"/>
          <w:sz w:val="22"/>
          <w:szCs w:val="22"/>
          <w:lang w:val="fr-FR"/>
        </w:rPr>
        <w:t>rapevine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virus H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is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indicated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80359D" w:rsidRPr="0066310D">
        <w:rPr>
          <w:rFonts w:ascii="Arial" w:hAnsi="Arial" w:cs="Arial"/>
          <w:sz w:val="22"/>
          <w:szCs w:val="22"/>
          <w:lang w:val="fr-FR"/>
        </w:rPr>
        <w:t>bold</w:t>
      </w:r>
      <w:proofErr w:type="spellEnd"/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50210" w:rsidRPr="0066310D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="00350210" w:rsidRPr="0066310D">
        <w:rPr>
          <w:rFonts w:ascii="Arial" w:hAnsi="Arial" w:cs="Arial"/>
          <w:sz w:val="22"/>
          <w:szCs w:val="22"/>
          <w:lang w:val="fr-FR"/>
        </w:rPr>
        <w:t xml:space="preserve"> a</w:t>
      </w:r>
      <w:r w:rsidR="0080359D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B5EC6" w:rsidRPr="0066310D">
        <w:rPr>
          <w:rFonts w:ascii="Arial" w:hAnsi="Arial" w:cs="Arial"/>
          <w:sz w:val="22"/>
          <w:szCs w:val="22"/>
          <w:lang w:val="fr-FR"/>
        </w:rPr>
        <w:t>red</w:t>
      </w:r>
      <w:proofErr w:type="spellEnd"/>
      <w:r w:rsidR="00AB5EC6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r w:rsidR="00BA2D3F" w:rsidRPr="0066310D">
        <w:rPr>
          <w:rFonts w:ascii="Arial" w:hAnsi="Arial" w:cs="Arial"/>
          <w:sz w:val="22"/>
          <w:szCs w:val="22"/>
          <w:lang w:val="fr-FR"/>
        </w:rPr>
        <w:t>star</w:t>
      </w:r>
      <w:r w:rsidR="0080359D" w:rsidRPr="0066310D">
        <w:rPr>
          <w:rFonts w:ascii="Arial" w:hAnsi="Arial" w:cs="Arial"/>
          <w:sz w:val="22"/>
          <w:szCs w:val="22"/>
        </w:rPr>
        <w:t>.</w:t>
      </w:r>
    </w:p>
    <w:p w14:paraId="249C0B7E" w14:textId="26342034" w:rsidR="00350210" w:rsidRDefault="00350210" w:rsidP="00350210">
      <w:pPr>
        <w:pStyle w:val="BodyTextIndent"/>
        <w:ind w:left="0" w:firstLine="0"/>
        <w:rPr>
          <w:rFonts w:ascii="Arial" w:hAnsi="Arial" w:cs="Arial"/>
          <w:szCs w:val="24"/>
          <w:lang w:eastAsia="fr-FR"/>
        </w:rPr>
      </w:pPr>
    </w:p>
    <w:p w14:paraId="52E798C1" w14:textId="6B15319D" w:rsidR="00EB69BF" w:rsidRDefault="00EB69BF" w:rsidP="00350210">
      <w:pPr>
        <w:pStyle w:val="BodyTextIndent"/>
        <w:ind w:left="0" w:firstLine="0"/>
        <w:rPr>
          <w:rFonts w:ascii="Arial" w:hAnsi="Arial" w:cs="Arial"/>
          <w:szCs w:val="24"/>
          <w:lang w:eastAsia="fr-FR"/>
        </w:rPr>
      </w:pPr>
      <w:r w:rsidRPr="00EB69BF">
        <w:rPr>
          <w:rFonts w:ascii="Arial" w:hAnsi="Arial" w:cs="Arial"/>
          <w:noProof/>
          <w:szCs w:val="24"/>
          <w:lang w:val="en-GB"/>
        </w:rPr>
        <w:lastRenderedPageBreak/>
        <w:drawing>
          <wp:inline distT="0" distB="0" distL="0" distR="0" wp14:anchorId="271D4F72" wp14:editId="15611817">
            <wp:extent cx="6007735" cy="3302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0BA3" w14:textId="77777777" w:rsidR="0066310D" w:rsidRDefault="0066310D" w:rsidP="00350210">
      <w:pPr>
        <w:pStyle w:val="BodyTextIndent"/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4EE67AB0" w14:textId="461F8267" w:rsidR="00D40EE9" w:rsidRPr="0066310D" w:rsidRDefault="00350210" w:rsidP="0066310D">
      <w:pPr>
        <w:pStyle w:val="BodyTextIndent"/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4A7AA4">
        <w:rPr>
          <w:rFonts w:ascii="Arial" w:hAnsi="Arial" w:cs="Arial"/>
          <w:b/>
          <w:sz w:val="22"/>
          <w:szCs w:val="22"/>
          <w:lang w:eastAsia="fr-FR"/>
        </w:rPr>
        <w:t xml:space="preserve">Figure </w:t>
      </w:r>
      <w:r>
        <w:rPr>
          <w:rFonts w:ascii="Arial" w:hAnsi="Arial" w:cs="Arial"/>
          <w:b/>
          <w:sz w:val="22"/>
          <w:szCs w:val="22"/>
          <w:lang w:eastAsia="fr-FR"/>
        </w:rPr>
        <w:t>3</w:t>
      </w:r>
      <w:r w:rsidRPr="004A7AA4">
        <w:rPr>
          <w:rFonts w:ascii="Arial" w:hAnsi="Arial" w:cs="Arial"/>
          <w:b/>
          <w:sz w:val="22"/>
          <w:szCs w:val="22"/>
          <w:lang w:eastAsia="fr-FR"/>
        </w:rPr>
        <w:t xml:space="preserve">.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Unrooted </w:t>
      </w:r>
      <w:r>
        <w:rPr>
          <w:rFonts w:ascii="Arial" w:hAnsi="Arial" w:cs="Arial"/>
          <w:sz w:val="22"/>
          <w:szCs w:val="22"/>
          <w:lang w:eastAsia="fr-FR"/>
        </w:rPr>
        <w:t>n</w:t>
      </w:r>
      <w:proofErr w:type="spellStart"/>
      <w:r w:rsidRPr="0080359D">
        <w:rPr>
          <w:rFonts w:ascii="Arial" w:hAnsi="Arial" w:cs="Arial"/>
          <w:sz w:val="22"/>
          <w:lang w:val="fr-FR"/>
        </w:rPr>
        <w:t>eighbor-joining</w:t>
      </w:r>
      <w:proofErr w:type="spellEnd"/>
      <w:r w:rsidRPr="0080359D">
        <w:rPr>
          <w:rFonts w:ascii="Arial" w:hAnsi="Arial" w:cs="Arial"/>
          <w:sz w:val="22"/>
          <w:lang w:val="fr-FR"/>
        </w:rPr>
        <w:t xml:space="preserve"> </w:t>
      </w:r>
      <w:r w:rsidRPr="00E815C6">
        <w:rPr>
          <w:rFonts w:ascii="Arial" w:hAnsi="Arial" w:cs="Arial"/>
          <w:sz w:val="22"/>
          <w:szCs w:val="22"/>
          <w:lang w:eastAsia="fr-FR"/>
        </w:rPr>
        <w:t xml:space="preserve">phylogenetic tree reconstructed using the complete </w:t>
      </w:r>
      <w:proofErr w:type="spellStart"/>
      <w:r w:rsidRPr="0080359D">
        <w:rPr>
          <w:rFonts w:ascii="Arial" w:hAnsi="Arial" w:cs="Arial"/>
          <w:sz w:val="22"/>
          <w:szCs w:val="22"/>
          <w:lang w:val="fr-FR" w:eastAsia="fr-FR"/>
        </w:rPr>
        <w:t>amino</w:t>
      </w:r>
      <w:proofErr w:type="spellEnd"/>
      <w:r w:rsidRPr="0080359D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80359D">
        <w:rPr>
          <w:rFonts w:ascii="Arial" w:hAnsi="Arial" w:cs="Arial"/>
          <w:sz w:val="22"/>
          <w:szCs w:val="22"/>
          <w:lang w:val="fr-FR" w:eastAsia="fr-FR"/>
        </w:rPr>
        <w:t>acid</w:t>
      </w:r>
      <w:proofErr w:type="spellEnd"/>
      <w:r w:rsidRPr="0080359D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80359D">
        <w:rPr>
          <w:rFonts w:ascii="Arial" w:hAnsi="Arial" w:cs="Arial"/>
          <w:sz w:val="22"/>
          <w:szCs w:val="22"/>
          <w:lang w:val="fr-FR" w:eastAsia="fr-FR"/>
        </w:rPr>
        <w:t>sequences</w:t>
      </w:r>
      <w:proofErr w:type="spellEnd"/>
      <w:r w:rsidRPr="0080359D">
        <w:rPr>
          <w:rFonts w:ascii="Arial" w:hAnsi="Arial" w:cs="Arial"/>
          <w:sz w:val="22"/>
          <w:szCs w:val="22"/>
          <w:lang w:val="fr-FR" w:eastAsia="fr-FR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  <w:lang w:val="fr-FR" w:eastAsia="fr-FR"/>
        </w:rPr>
        <w:t>coat</w:t>
      </w:r>
      <w:proofErr w:type="spellEnd"/>
      <w:r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 w:eastAsia="fr-FR"/>
        </w:rPr>
        <w:t>protein</w:t>
      </w:r>
      <w:proofErr w:type="spellEnd"/>
      <w:r w:rsidRPr="0080359D">
        <w:rPr>
          <w:rFonts w:ascii="Arial" w:hAnsi="Arial" w:cs="Arial"/>
          <w:sz w:val="22"/>
          <w:szCs w:val="22"/>
          <w:lang w:val="fr-FR" w:eastAsia="fr-FR"/>
        </w:rPr>
        <w:t xml:space="preserve"> of</w:t>
      </w:r>
      <w:r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80359D">
        <w:rPr>
          <w:rFonts w:ascii="Arial" w:hAnsi="Arial" w:cs="Arial"/>
          <w:i/>
          <w:iCs/>
          <w:sz w:val="22"/>
          <w:szCs w:val="22"/>
          <w:lang w:val="fr-FR" w:eastAsia="fr-FR"/>
        </w:rPr>
        <w:t>Vitiviru</w:t>
      </w:r>
      <w:r w:rsidRPr="0066310D">
        <w:rPr>
          <w:rFonts w:ascii="Arial" w:hAnsi="Arial" w:cs="Arial"/>
          <w:i/>
          <w:iCs/>
          <w:sz w:val="22"/>
          <w:szCs w:val="22"/>
          <w:lang w:val="fr-FR" w:eastAsia="fr-FR"/>
        </w:rPr>
        <w:t>s</w:t>
      </w:r>
      <w:proofErr w:type="spellEnd"/>
      <w:r w:rsidRPr="0066310D">
        <w:rPr>
          <w:rFonts w:ascii="Arial" w:hAnsi="Arial" w:cs="Arial"/>
          <w:i/>
          <w:iCs/>
          <w:sz w:val="22"/>
          <w:szCs w:val="22"/>
          <w:lang w:val="fr-FR" w:eastAsia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 w:eastAsia="fr-FR"/>
        </w:rPr>
        <w:t>genus</w:t>
      </w:r>
      <w:proofErr w:type="spellEnd"/>
      <w:r w:rsidRPr="0066310D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 w:eastAsia="fr-FR"/>
        </w:rPr>
        <w:t>members</w:t>
      </w:r>
      <w:proofErr w:type="spellEnd"/>
      <w:r w:rsidRPr="0066310D">
        <w:rPr>
          <w:rFonts w:ascii="Arial" w:hAnsi="Arial" w:cs="Arial"/>
          <w:sz w:val="22"/>
          <w:szCs w:val="22"/>
          <w:lang w:eastAsia="fr-FR"/>
        </w:rPr>
        <w:t>.</w:t>
      </w:r>
      <w:r w:rsidR="0066310D" w:rsidRPr="0066310D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66310D">
        <w:rPr>
          <w:rFonts w:ascii="Arial" w:hAnsi="Arial" w:cs="Arial"/>
          <w:sz w:val="22"/>
          <w:szCs w:val="22"/>
          <w:lang w:val="fr-FR"/>
        </w:rPr>
        <w:t xml:space="preserve">Strict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amino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acid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sequence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identity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distances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were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used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for construction of the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tree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, and the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statistical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significance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of branches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was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evaluated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by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bootstrap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analysis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(1,000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replicates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).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Only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values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higher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than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70% are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indicated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. The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scale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bar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represents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10%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amino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acid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sequence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divergence. The </w:t>
      </w:r>
      <w:r w:rsidRPr="0066310D">
        <w:rPr>
          <w:rFonts w:ascii="Arial" w:hAnsi="Arial" w:cs="Arial"/>
          <w:bCs/>
          <w:sz w:val="22"/>
          <w:szCs w:val="22"/>
          <w:lang w:val="fr-FR"/>
        </w:rPr>
        <w:t>TT2016-3</w:t>
      </w:r>
      <w:r w:rsidRPr="0066310D">
        <w:rPr>
          <w:rFonts w:ascii="Arial" w:hAnsi="Arial" w:cs="Arial"/>
          <w:sz w:val="22"/>
          <w:szCs w:val="22"/>
          <w:lang w:val="en-GB"/>
        </w:rPr>
        <w:t xml:space="preserve"> isolate</w:t>
      </w:r>
      <w:r w:rsidRPr="0066310D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="00EB69BF" w:rsidRPr="0066310D">
        <w:rPr>
          <w:rFonts w:ascii="Arial" w:hAnsi="Arial" w:cs="Arial"/>
          <w:sz w:val="22"/>
          <w:szCs w:val="22"/>
          <w:lang w:val="fr-FR"/>
        </w:rPr>
        <w:t>g</w:t>
      </w:r>
      <w:r w:rsidRPr="0066310D">
        <w:rPr>
          <w:rFonts w:ascii="Arial" w:hAnsi="Arial" w:cs="Arial"/>
          <w:sz w:val="22"/>
          <w:szCs w:val="22"/>
          <w:lang w:val="fr-FR"/>
        </w:rPr>
        <w:t>rapevine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virus H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is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indicated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bold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6310D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Pr="0066310D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="00EB69BF" w:rsidRPr="0066310D">
        <w:rPr>
          <w:rFonts w:ascii="Arial" w:hAnsi="Arial" w:cs="Arial"/>
          <w:sz w:val="22"/>
          <w:szCs w:val="22"/>
          <w:lang w:val="fr-FR"/>
        </w:rPr>
        <w:t>red</w:t>
      </w:r>
      <w:proofErr w:type="spellEnd"/>
      <w:r w:rsidR="00EB69BF" w:rsidRPr="0066310D">
        <w:rPr>
          <w:rFonts w:ascii="Arial" w:hAnsi="Arial" w:cs="Arial"/>
          <w:sz w:val="22"/>
          <w:szCs w:val="22"/>
          <w:lang w:val="fr-FR"/>
        </w:rPr>
        <w:t xml:space="preserve"> </w:t>
      </w:r>
      <w:r w:rsidR="00BA2D3F" w:rsidRPr="0066310D">
        <w:rPr>
          <w:rFonts w:ascii="Arial" w:hAnsi="Arial" w:cs="Arial"/>
          <w:sz w:val="22"/>
          <w:szCs w:val="22"/>
          <w:lang w:val="fr-FR"/>
        </w:rPr>
        <w:t>star</w:t>
      </w:r>
      <w:r w:rsidRPr="0066310D">
        <w:rPr>
          <w:rFonts w:ascii="Arial" w:hAnsi="Arial" w:cs="Arial"/>
          <w:sz w:val="22"/>
          <w:szCs w:val="22"/>
        </w:rPr>
        <w:t>.</w:t>
      </w:r>
    </w:p>
    <w:p w14:paraId="61C04955" w14:textId="77777777" w:rsidR="00EB69BF" w:rsidRDefault="00EB69BF" w:rsidP="00350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8CA38DE" w14:textId="77777777" w:rsidR="00EB69BF" w:rsidRDefault="00EB69BF" w:rsidP="00350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EC726BE" w14:textId="77777777" w:rsidR="00465B11" w:rsidRDefault="00465B11" w:rsidP="00350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9262B20" w14:textId="77777777" w:rsidR="00465B11" w:rsidRDefault="00465B11" w:rsidP="00350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AFD85B4" w14:textId="77777777" w:rsidR="00755A47" w:rsidRDefault="00755A47" w:rsidP="00350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755A47" w:rsidRPr="009320C8" w14:paraId="5F4AB60D" w14:textId="77777777" w:rsidTr="007631FC">
        <w:trPr>
          <w:tblHeader/>
        </w:trPr>
        <w:tc>
          <w:tcPr>
            <w:tcW w:w="9228" w:type="dxa"/>
          </w:tcPr>
          <w:p w14:paraId="6AFF4D70" w14:textId="77777777" w:rsidR="00755A47" w:rsidRPr="009320C8" w:rsidRDefault="00755A47" w:rsidP="007631FC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755A47" w:rsidRPr="00980FAC" w14:paraId="7E360EE7" w14:textId="77777777" w:rsidTr="007631FC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6EE02" w14:textId="77777777" w:rsidR="00755A47" w:rsidRPr="0080359D" w:rsidRDefault="00755A47" w:rsidP="007631FC">
            <w:pPr>
              <w:spacing w:after="120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Candresse</w:t>
            </w:r>
            <w:proofErr w:type="spellEnd"/>
            <w:r w:rsidRPr="00980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D0C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et al</w:t>
            </w:r>
            <w:r w:rsidRPr="00980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(2018)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Determination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of the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complete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genomic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sequence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grapevine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virus H,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a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novel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vitivirus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infecting</w:t>
            </w:r>
            <w:proofErr w:type="spellEnd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grapevine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80359D">
              <w:rPr>
                <w:rFonts w:ascii="STIX-Regular" w:hAnsi="STIX-Regular" w:cs="STIX-Regular"/>
                <w:sz w:val="17"/>
                <w:szCs w:val="17"/>
                <w:lang w:val="fr-FR" w:eastAsia="en-GB"/>
              </w:rPr>
              <w:t xml:space="preserve"> </w:t>
            </w:r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Arch </w:t>
            </w:r>
            <w:proofErr w:type="spellStart"/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Virol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,</w:t>
            </w:r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163:277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-</w:t>
            </w:r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280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80359D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https://doi.org/10.1007/s00705-017-3587-7</w:t>
            </w:r>
          </w:p>
          <w:p w14:paraId="6655A209" w14:textId="77777777" w:rsidR="00755A47" w:rsidRPr="00980FAC" w:rsidRDefault="00755A47" w:rsidP="007631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FA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Adams </w:t>
            </w:r>
            <w:r w:rsidRPr="00FD0C34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et al.</w:t>
            </w:r>
            <w:r w:rsidRPr="00980FA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(2012)</w:t>
            </w:r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Family </w:t>
            </w:r>
            <w:proofErr w:type="spellStart"/>
            <w:r w:rsidRPr="00980FAC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Betaflexiviridae</w:t>
            </w:r>
            <w:proofErr w:type="spellEnd"/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>. In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Virus Taxonomy-Ninth Report on the International Committee on Taxonomy of Viruses. King </w:t>
            </w:r>
            <w:r w:rsidRPr="00FD0C34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et al</w:t>
            </w:r>
            <w:r w:rsidRPr="00980FAC">
              <w:rPr>
                <w:rFonts w:ascii="Arial" w:hAnsi="Arial" w:cs="Arial"/>
                <w:sz w:val="20"/>
                <w:szCs w:val="20"/>
                <w:lang w:eastAsia="en-GB"/>
              </w:rPr>
              <w:t>. eds. Elsevier Academic Press: Cambridge, MA, USA, pp. 920–941</w:t>
            </w:r>
          </w:p>
        </w:tc>
      </w:tr>
    </w:tbl>
    <w:p w14:paraId="7AE6B9BD" w14:textId="77777777" w:rsidR="00755A47" w:rsidRPr="00257466" w:rsidRDefault="00755A47" w:rsidP="003502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</w:p>
    <w:sectPr w:rsidR="00755A47" w:rsidRPr="00257466" w:rsidSect="00991A82">
      <w:headerReference w:type="default" r:id="rId12"/>
      <w:footerReference w:type="default" r:id="rId13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803E" w14:textId="77777777" w:rsidR="00A707F6" w:rsidRDefault="00A707F6" w:rsidP="00AE62F9">
      <w:pPr>
        <w:pStyle w:val="Header"/>
      </w:pPr>
      <w:r>
        <w:separator/>
      </w:r>
    </w:p>
  </w:endnote>
  <w:endnote w:type="continuationSeparator" w:id="0">
    <w:p w14:paraId="39A2A7A0" w14:textId="77777777" w:rsidR="00A707F6" w:rsidRDefault="00A707F6" w:rsidP="00AE62F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IX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F3B5" w14:textId="1962C9AA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D2E65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D2E65">
      <w:rPr>
        <w:rFonts w:ascii="Arial" w:hAnsi="Arial" w:cs="Arial"/>
        <w:noProof/>
        <w:color w:val="808080"/>
        <w:sz w:val="20"/>
      </w:rPr>
      <w:t>4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70AF" w14:textId="77777777" w:rsidR="00A707F6" w:rsidRDefault="00A707F6" w:rsidP="00AE62F9">
      <w:pPr>
        <w:pStyle w:val="Header"/>
      </w:pPr>
      <w:r>
        <w:separator/>
      </w:r>
    </w:p>
  </w:footnote>
  <w:footnote w:type="continuationSeparator" w:id="0">
    <w:p w14:paraId="6AD29A95" w14:textId="77777777" w:rsidR="00A707F6" w:rsidRDefault="00A707F6" w:rsidP="00AE62F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E4D7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3283"/>
    <w:multiLevelType w:val="hybridMultilevel"/>
    <w:tmpl w:val="1142948A"/>
    <w:lvl w:ilvl="0" w:tplc="9D2E8A2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7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5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"/>
  </w:num>
  <w:num w:numId="22">
    <w:abstractNumId w:val="6"/>
  </w:num>
  <w:num w:numId="23">
    <w:abstractNumId w:val="14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16D06"/>
    <w:rsid w:val="00020655"/>
    <w:rsid w:val="00024051"/>
    <w:rsid w:val="000315E5"/>
    <w:rsid w:val="00034DE5"/>
    <w:rsid w:val="000360CB"/>
    <w:rsid w:val="000420CB"/>
    <w:rsid w:val="0004304B"/>
    <w:rsid w:val="00072CC5"/>
    <w:rsid w:val="00076580"/>
    <w:rsid w:val="00093DD3"/>
    <w:rsid w:val="000A1E38"/>
    <w:rsid w:val="000A6DE3"/>
    <w:rsid w:val="000A7F1C"/>
    <w:rsid w:val="000B7774"/>
    <w:rsid w:val="000C0126"/>
    <w:rsid w:val="000C32A9"/>
    <w:rsid w:val="000D2F03"/>
    <w:rsid w:val="000F5494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57466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2F4995"/>
    <w:rsid w:val="00304104"/>
    <w:rsid w:val="00306A5E"/>
    <w:rsid w:val="00315AEE"/>
    <w:rsid w:val="003238E7"/>
    <w:rsid w:val="003414E4"/>
    <w:rsid w:val="00342A81"/>
    <w:rsid w:val="00342D4D"/>
    <w:rsid w:val="003433D8"/>
    <w:rsid w:val="0034563C"/>
    <w:rsid w:val="00350210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32098"/>
    <w:rsid w:val="004435EC"/>
    <w:rsid w:val="00444E1E"/>
    <w:rsid w:val="00447321"/>
    <w:rsid w:val="0044774D"/>
    <w:rsid w:val="004571CE"/>
    <w:rsid w:val="00465B11"/>
    <w:rsid w:val="00467B06"/>
    <w:rsid w:val="004710EC"/>
    <w:rsid w:val="0047500D"/>
    <w:rsid w:val="004937AC"/>
    <w:rsid w:val="00494623"/>
    <w:rsid w:val="00495109"/>
    <w:rsid w:val="004A350D"/>
    <w:rsid w:val="004A3DAC"/>
    <w:rsid w:val="004A6F2D"/>
    <w:rsid w:val="004A7AA4"/>
    <w:rsid w:val="004B0C50"/>
    <w:rsid w:val="004B5D02"/>
    <w:rsid w:val="004C30A2"/>
    <w:rsid w:val="004C6B7F"/>
    <w:rsid w:val="004C7BA9"/>
    <w:rsid w:val="004D1DAD"/>
    <w:rsid w:val="004D21E1"/>
    <w:rsid w:val="004D236F"/>
    <w:rsid w:val="004D2E65"/>
    <w:rsid w:val="004D5AE7"/>
    <w:rsid w:val="004D748F"/>
    <w:rsid w:val="004F23EA"/>
    <w:rsid w:val="004F771E"/>
    <w:rsid w:val="0050228B"/>
    <w:rsid w:val="00503E8B"/>
    <w:rsid w:val="00505D9F"/>
    <w:rsid w:val="0050662A"/>
    <w:rsid w:val="005145CE"/>
    <w:rsid w:val="00516D9F"/>
    <w:rsid w:val="005201AD"/>
    <w:rsid w:val="00521073"/>
    <w:rsid w:val="00522E71"/>
    <w:rsid w:val="00530EFE"/>
    <w:rsid w:val="00534EED"/>
    <w:rsid w:val="005368BD"/>
    <w:rsid w:val="005557FC"/>
    <w:rsid w:val="00570D26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6310D"/>
    <w:rsid w:val="00676B33"/>
    <w:rsid w:val="00692BE3"/>
    <w:rsid w:val="0069409C"/>
    <w:rsid w:val="006A1735"/>
    <w:rsid w:val="006B2EE7"/>
    <w:rsid w:val="006C4A0C"/>
    <w:rsid w:val="006D1B4E"/>
    <w:rsid w:val="006D1E14"/>
    <w:rsid w:val="006D59EF"/>
    <w:rsid w:val="006E0B7B"/>
    <w:rsid w:val="006F1ADE"/>
    <w:rsid w:val="006F44A4"/>
    <w:rsid w:val="006F6941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61D"/>
    <w:rsid w:val="0073793D"/>
    <w:rsid w:val="00746025"/>
    <w:rsid w:val="00751194"/>
    <w:rsid w:val="00752D7B"/>
    <w:rsid w:val="00755A47"/>
    <w:rsid w:val="007602A2"/>
    <w:rsid w:val="0076759D"/>
    <w:rsid w:val="00774CB4"/>
    <w:rsid w:val="007772C2"/>
    <w:rsid w:val="007878DB"/>
    <w:rsid w:val="00792B22"/>
    <w:rsid w:val="0079318D"/>
    <w:rsid w:val="007A5735"/>
    <w:rsid w:val="007B58C9"/>
    <w:rsid w:val="007C1657"/>
    <w:rsid w:val="007C793A"/>
    <w:rsid w:val="007C7E0E"/>
    <w:rsid w:val="007D246C"/>
    <w:rsid w:val="007D4C57"/>
    <w:rsid w:val="007D6DB6"/>
    <w:rsid w:val="007E6C07"/>
    <w:rsid w:val="007F03D8"/>
    <w:rsid w:val="007F5109"/>
    <w:rsid w:val="0080060B"/>
    <w:rsid w:val="00800BFD"/>
    <w:rsid w:val="00801148"/>
    <w:rsid w:val="00802D02"/>
    <w:rsid w:val="0080359D"/>
    <w:rsid w:val="008071B6"/>
    <w:rsid w:val="0080765D"/>
    <w:rsid w:val="008277F3"/>
    <w:rsid w:val="00830785"/>
    <w:rsid w:val="00835B67"/>
    <w:rsid w:val="00835DBD"/>
    <w:rsid w:val="008418CD"/>
    <w:rsid w:val="008442CB"/>
    <w:rsid w:val="008563BE"/>
    <w:rsid w:val="008655D6"/>
    <w:rsid w:val="00871CF1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459F8"/>
    <w:rsid w:val="009551D6"/>
    <w:rsid w:val="009564E3"/>
    <w:rsid w:val="0096368E"/>
    <w:rsid w:val="00963FA9"/>
    <w:rsid w:val="00965805"/>
    <w:rsid w:val="00973680"/>
    <w:rsid w:val="009761BE"/>
    <w:rsid w:val="00980FAC"/>
    <w:rsid w:val="009845DD"/>
    <w:rsid w:val="009864D7"/>
    <w:rsid w:val="00986F6A"/>
    <w:rsid w:val="00987C77"/>
    <w:rsid w:val="009903E2"/>
    <w:rsid w:val="00991A82"/>
    <w:rsid w:val="0099268F"/>
    <w:rsid w:val="00995425"/>
    <w:rsid w:val="009A0A30"/>
    <w:rsid w:val="009A3DE5"/>
    <w:rsid w:val="009A6C98"/>
    <w:rsid w:val="009B1712"/>
    <w:rsid w:val="009C1EBB"/>
    <w:rsid w:val="009C463B"/>
    <w:rsid w:val="009C5CCE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66387"/>
    <w:rsid w:val="00A707F6"/>
    <w:rsid w:val="00A724DF"/>
    <w:rsid w:val="00A77BC1"/>
    <w:rsid w:val="00A80214"/>
    <w:rsid w:val="00A84D14"/>
    <w:rsid w:val="00A91DF9"/>
    <w:rsid w:val="00AA0148"/>
    <w:rsid w:val="00AA1E2F"/>
    <w:rsid w:val="00AA308A"/>
    <w:rsid w:val="00AA3952"/>
    <w:rsid w:val="00AA601F"/>
    <w:rsid w:val="00AB5EC6"/>
    <w:rsid w:val="00AC0E72"/>
    <w:rsid w:val="00AD11F4"/>
    <w:rsid w:val="00AD3814"/>
    <w:rsid w:val="00AE2858"/>
    <w:rsid w:val="00AE62F9"/>
    <w:rsid w:val="00AF63CD"/>
    <w:rsid w:val="00AF65C7"/>
    <w:rsid w:val="00B01FC6"/>
    <w:rsid w:val="00B04CD6"/>
    <w:rsid w:val="00B12A01"/>
    <w:rsid w:val="00B12D76"/>
    <w:rsid w:val="00B216A1"/>
    <w:rsid w:val="00B2254A"/>
    <w:rsid w:val="00B34F6A"/>
    <w:rsid w:val="00B37996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2D3F"/>
    <w:rsid w:val="00BA3080"/>
    <w:rsid w:val="00BB7D24"/>
    <w:rsid w:val="00BD4541"/>
    <w:rsid w:val="00BD47D7"/>
    <w:rsid w:val="00BE06F9"/>
    <w:rsid w:val="00BE18E9"/>
    <w:rsid w:val="00BF7AA8"/>
    <w:rsid w:val="00C06EE4"/>
    <w:rsid w:val="00C12C1B"/>
    <w:rsid w:val="00C148BC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045B"/>
    <w:rsid w:val="00CA56E9"/>
    <w:rsid w:val="00CB3A13"/>
    <w:rsid w:val="00CB434C"/>
    <w:rsid w:val="00CB7C39"/>
    <w:rsid w:val="00CE0DE4"/>
    <w:rsid w:val="00CE2AB3"/>
    <w:rsid w:val="00CE408B"/>
    <w:rsid w:val="00CE4238"/>
    <w:rsid w:val="00CE5ECF"/>
    <w:rsid w:val="00CF0A9B"/>
    <w:rsid w:val="00CF3890"/>
    <w:rsid w:val="00CF5168"/>
    <w:rsid w:val="00D010BD"/>
    <w:rsid w:val="00D017DB"/>
    <w:rsid w:val="00D0602A"/>
    <w:rsid w:val="00D109E6"/>
    <w:rsid w:val="00D11CA2"/>
    <w:rsid w:val="00D13294"/>
    <w:rsid w:val="00D15256"/>
    <w:rsid w:val="00D157F5"/>
    <w:rsid w:val="00D15A4D"/>
    <w:rsid w:val="00D1634C"/>
    <w:rsid w:val="00D16A8B"/>
    <w:rsid w:val="00D2300C"/>
    <w:rsid w:val="00D23CE8"/>
    <w:rsid w:val="00D40EE9"/>
    <w:rsid w:val="00D4277A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16BC7"/>
    <w:rsid w:val="00E30A69"/>
    <w:rsid w:val="00E3247C"/>
    <w:rsid w:val="00E347C2"/>
    <w:rsid w:val="00E36F9D"/>
    <w:rsid w:val="00E4413A"/>
    <w:rsid w:val="00E57A0B"/>
    <w:rsid w:val="00E60228"/>
    <w:rsid w:val="00E66C21"/>
    <w:rsid w:val="00E73F9A"/>
    <w:rsid w:val="00E77F64"/>
    <w:rsid w:val="00E815C6"/>
    <w:rsid w:val="00E946A5"/>
    <w:rsid w:val="00EA06D0"/>
    <w:rsid w:val="00EA0C30"/>
    <w:rsid w:val="00EA1332"/>
    <w:rsid w:val="00EA2814"/>
    <w:rsid w:val="00EA5C82"/>
    <w:rsid w:val="00EA6CA5"/>
    <w:rsid w:val="00EB0413"/>
    <w:rsid w:val="00EB5BAF"/>
    <w:rsid w:val="00EB69BF"/>
    <w:rsid w:val="00EC11F1"/>
    <w:rsid w:val="00EC4F18"/>
    <w:rsid w:val="00ED3BB4"/>
    <w:rsid w:val="00EF6615"/>
    <w:rsid w:val="00EF7D67"/>
    <w:rsid w:val="00F00D95"/>
    <w:rsid w:val="00F038BC"/>
    <w:rsid w:val="00F050DB"/>
    <w:rsid w:val="00F071D8"/>
    <w:rsid w:val="00F114DF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526FC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17DB"/>
    <w:rsid w:val="00FA2D02"/>
    <w:rsid w:val="00FA43E3"/>
    <w:rsid w:val="00FC22F7"/>
    <w:rsid w:val="00FC636D"/>
    <w:rsid w:val="00FC66D8"/>
    <w:rsid w:val="00FD0C34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BB662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B06"/>
    <w:pPr>
      <w:ind w:left="720"/>
      <w:contextualSpacing/>
    </w:pPr>
  </w:style>
  <w:style w:type="table" w:styleId="TableGrid">
    <w:name w:val="Table Grid"/>
    <w:basedOn w:val="TableNormal"/>
    <w:uiPriority w:val="59"/>
    <w:rsid w:val="00E7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5C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E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C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7079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3</cp:revision>
  <cp:lastPrinted>2017-01-11T11:49:00Z</cp:lastPrinted>
  <dcterms:created xsi:type="dcterms:W3CDTF">2018-06-20T10:37:00Z</dcterms:created>
  <dcterms:modified xsi:type="dcterms:W3CDTF">2018-06-20T10:40:00Z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